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63" w:rsidRDefault="00EE7F05" w:rsidP="00C76E6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Developing a Definition and Rules</w:t>
      </w:r>
      <w:r w:rsidR="00C76E63" w:rsidRPr="00141A50">
        <w:rPr>
          <w:rFonts w:ascii="Times New Roman" w:hAnsi="Times New Roman" w:cs="Times New Roman"/>
          <w:b/>
          <w:sz w:val="26"/>
          <w:szCs w:val="26"/>
        </w:rPr>
        <w:t xml:space="preserve"> for </w:t>
      </w:r>
      <w:r>
        <w:rPr>
          <w:rFonts w:ascii="Times New Roman" w:hAnsi="Times New Roman" w:cs="Times New Roman"/>
          <w:b/>
          <w:sz w:val="26"/>
          <w:szCs w:val="26"/>
        </w:rPr>
        <w:t xml:space="preserve">the </w:t>
      </w:r>
      <w:r w:rsidR="00C76E63" w:rsidRPr="00141A50">
        <w:rPr>
          <w:rFonts w:ascii="Times New Roman" w:hAnsi="Times New Roman" w:cs="Times New Roman"/>
          <w:b/>
          <w:sz w:val="26"/>
          <w:szCs w:val="26"/>
        </w:rPr>
        <w:t>Additional Pests of Concern List</w:t>
      </w:r>
    </w:p>
    <w:p w:rsidR="00141A50" w:rsidRDefault="00141A50" w:rsidP="00C76E63">
      <w:pPr>
        <w:rPr>
          <w:rFonts w:ascii="Times New Roman" w:hAnsi="Times New Roman" w:cs="Times New Roman"/>
          <w:b/>
          <w:sz w:val="26"/>
          <w:szCs w:val="26"/>
        </w:rPr>
      </w:pPr>
    </w:p>
    <w:p w:rsidR="00035CDA" w:rsidRDefault="006C46A9" w:rsidP="00A3397B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The Additional Pests of Concern List has long been a dumping ground for pests.</w:t>
      </w:r>
      <w:r w:rsidR="00A3397B">
        <w:rPr>
          <w:rFonts w:ascii="Times New Roman" w:hAnsi="Times New Roman" w:cs="Times New Roman"/>
          <w:sz w:val="24"/>
          <w:szCs w:val="24"/>
        </w:rPr>
        <w:t xml:space="preserve">  </w:t>
      </w:r>
      <w:r w:rsidR="00A3397B" w:rsidRPr="00141A50">
        <w:rPr>
          <w:rFonts w:ascii="Times New Roman" w:hAnsi="Times New Roman" w:cs="Times New Roman"/>
          <w:sz w:val="24"/>
          <w:szCs w:val="24"/>
        </w:rPr>
        <w:t>Right now</w:t>
      </w:r>
      <w:r w:rsidR="00AD55BD">
        <w:rPr>
          <w:rFonts w:ascii="Times New Roman" w:hAnsi="Times New Roman" w:cs="Times New Roman"/>
          <w:sz w:val="24"/>
          <w:szCs w:val="24"/>
        </w:rPr>
        <w:t>,</w:t>
      </w:r>
      <w:r w:rsidR="00A3397B" w:rsidRPr="00141A50">
        <w:rPr>
          <w:rFonts w:ascii="Times New Roman" w:hAnsi="Times New Roman" w:cs="Times New Roman"/>
          <w:sz w:val="24"/>
          <w:szCs w:val="24"/>
        </w:rPr>
        <w:t xml:space="preserve"> </w:t>
      </w:r>
      <w:r w:rsidR="00035CDA">
        <w:rPr>
          <w:rFonts w:ascii="Times New Roman" w:hAnsi="Times New Roman" w:cs="Times New Roman"/>
          <w:sz w:val="24"/>
          <w:szCs w:val="24"/>
        </w:rPr>
        <w:t>there are</w:t>
      </w:r>
      <w:r w:rsidR="00A3397B" w:rsidRPr="00141A50">
        <w:rPr>
          <w:rFonts w:ascii="Times New Roman" w:hAnsi="Times New Roman" w:cs="Times New Roman"/>
          <w:sz w:val="24"/>
          <w:szCs w:val="24"/>
        </w:rPr>
        <w:t xml:space="preserve"> no </w:t>
      </w:r>
      <w:r w:rsidR="00B14317">
        <w:rPr>
          <w:rFonts w:ascii="Times New Roman" w:hAnsi="Times New Roman" w:cs="Times New Roman"/>
          <w:sz w:val="24"/>
          <w:szCs w:val="24"/>
        </w:rPr>
        <w:t>rules</w:t>
      </w:r>
      <w:r w:rsidR="00A3397B" w:rsidRPr="00141A50">
        <w:rPr>
          <w:rFonts w:ascii="Times New Roman" w:hAnsi="Times New Roman" w:cs="Times New Roman"/>
          <w:sz w:val="24"/>
          <w:szCs w:val="24"/>
        </w:rPr>
        <w:t xml:space="preserve"> for how pests get added to the list and how they can be removed.</w:t>
      </w:r>
      <w:r w:rsidR="00A3397B">
        <w:rPr>
          <w:rFonts w:ascii="Times New Roman" w:hAnsi="Times New Roman" w:cs="Times New Roman"/>
          <w:sz w:val="24"/>
          <w:szCs w:val="24"/>
        </w:rPr>
        <w:t xml:space="preserve">  We need to decide </w:t>
      </w:r>
      <w:r w:rsidR="00B14317">
        <w:rPr>
          <w:rFonts w:ascii="Times New Roman" w:hAnsi="Times New Roman" w:cs="Times New Roman"/>
          <w:sz w:val="24"/>
          <w:szCs w:val="24"/>
        </w:rPr>
        <w:t xml:space="preserve">on </w:t>
      </w:r>
      <w:r w:rsidR="00A3397B">
        <w:rPr>
          <w:rFonts w:ascii="Times New Roman" w:hAnsi="Times New Roman" w:cs="Times New Roman"/>
          <w:sz w:val="24"/>
          <w:szCs w:val="24"/>
        </w:rPr>
        <w:t xml:space="preserve">the purpose of this list and create </w:t>
      </w:r>
      <w:r w:rsidR="00A3397B" w:rsidRPr="00141A50">
        <w:rPr>
          <w:rFonts w:ascii="Times New Roman" w:hAnsi="Times New Roman" w:cs="Times New Roman"/>
          <w:sz w:val="24"/>
          <w:szCs w:val="24"/>
        </w:rPr>
        <w:t>a written definition</w:t>
      </w:r>
      <w:r w:rsidR="00035CDA">
        <w:rPr>
          <w:rFonts w:ascii="Times New Roman" w:hAnsi="Times New Roman" w:cs="Times New Roman"/>
          <w:sz w:val="24"/>
          <w:szCs w:val="24"/>
        </w:rPr>
        <w:t xml:space="preserve"> for what this list represents.  </w:t>
      </w:r>
    </w:p>
    <w:p w:rsidR="00035CDA" w:rsidRDefault="00035CDA" w:rsidP="00A3397B">
      <w:pPr>
        <w:rPr>
          <w:rFonts w:ascii="Times New Roman" w:hAnsi="Times New Roman" w:cs="Times New Roman"/>
          <w:sz w:val="24"/>
          <w:szCs w:val="24"/>
        </w:rPr>
      </w:pPr>
    </w:p>
    <w:p w:rsidR="00A3397B" w:rsidRDefault="00EE7F05" w:rsidP="00A33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035CDA">
        <w:rPr>
          <w:rFonts w:ascii="Times New Roman" w:hAnsi="Times New Roman" w:cs="Times New Roman"/>
          <w:sz w:val="24"/>
          <w:szCs w:val="24"/>
        </w:rPr>
        <w:t xml:space="preserve">the 2013 Guidelines, </w:t>
      </w:r>
      <w:r w:rsidR="00A3397B">
        <w:rPr>
          <w:rFonts w:ascii="Times New Roman" w:hAnsi="Times New Roman" w:cs="Times New Roman"/>
          <w:sz w:val="24"/>
          <w:szCs w:val="24"/>
        </w:rPr>
        <w:t>the full name of the Additional List is “Additional Pests of Regulatory Concern List.”  We currently have pests that have been de-regulated/ made non-reportable on the list.</w:t>
      </w:r>
    </w:p>
    <w:p w:rsidR="00A3397B" w:rsidRDefault="00A3397B" w:rsidP="00A3397B">
      <w:pPr>
        <w:rPr>
          <w:rFonts w:ascii="Times New Roman" w:hAnsi="Times New Roman" w:cs="Times New Roman"/>
          <w:sz w:val="24"/>
          <w:szCs w:val="24"/>
        </w:rPr>
      </w:pPr>
    </w:p>
    <w:p w:rsidR="00A3397B" w:rsidRDefault="00A3397B" w:rsidP="00A33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are two other references to the list in the 2013 Guidelines:</w:t>
      </w:r>
    </w:p>
    <w:p w:rsidR="00A3397B" w:rsidRDefault="00A3397B" w:rsidP="00A3397B">
      <w:pPr>
        <w:rPr>
          <w:rFonts w:ascii="Times New Roman" w:hAnsi="Times New Roman" w:cs="Times New Roman"/>
          <w:sz w:val="24"/>
          <w:szCs w:val="24"/>
        </w:rPr>
      </w:pPr>
    </w:p>
    <w:p w:rsidR="00A3397B" w:rsidRDefault="00A3397B" w:rsidP="00A339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“Surveys that a State may choose to conduct </w:t>
      </w:r>
      <w:r w:rsidRPr="00103390">
        <w:rPr>
          <w:color w:val="FF0000"/>
          <w:sz w:val="23"/>
          <w:szCs w:val="23"/>
        </w:rPr>
        <w:t xml:space="preserve">for pests of regulatory significance </w:t>
      </w:r>
      <w:r>
        <w:rPr>
          <w:sz w:val="23"/>
          <w:szCs w:val="23"/>
        </w:rPr>
        <w:t>within their State (see Appendix H for the Additional Pests of Regulatory Concern list) should bundle these pests with national Priority Pests in Bundled Surveys.”</w:t>
      </w:r>
    </w:p>
    <w:p w:rsidR="00A3397B" w:rsidRDefault="00A3397B" w:rsidP="00A3397B">
      <w:pPr>
        <w:pStyle w:val="Default"/>
        <w:rPr>
          <w:sz w:val="23"/>
          <w:szCs w:val="23"/>
        </w:rPr>
      </w:pPr>
    </w:p>
    <w:p w:rsidR="00A3397B" w:rsidRDefault="00A3397B" w:rsidP="00A3397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“The NCC also will approve annually a list of </w:t>
      </w:r>
      <w:r w:rsidRPr="00103390">
        <w:rPr>
          <w:color w:val="FF0000"/>
          <w:sz w:val="23"/>
          <w:szCs w:val="23"/>
        </w:rPr>
        <w:t xml:space="preserve">additional pests of regulatory concern </w:t>
      </w:r>
      <w:r>
        <w:rPr>
          <w:sz w:val="23"/>
          <w:szCs w:val="23"/>
        </w:rPr>
        <w:t>(radar screen) (Appendix H). The State CAPS Committee will determine and recommend survey priorities for pests of State regulatory concern in their state using this list as a guide.”</w:t>
      </w:r>
    </w:p>
    <w:p w:rsidR="00035CDA" w:rsidRDefault="00035CDA" w:rsidP="00A3397B">
      <w:pPr>
        <w:pStyle w:val="Default"/>
        <w:rPr>
          <w:sz w:val="23"/>
          <w:szCs w:val="23"/>
        </w:rPr>
      </w:pP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it be used to highlight exotic pests for states to include in bundled surveys?</w:t>
      </w:r>
    </w:p>
    <w:p w:rsidR="00035CDA" w:rsidRPr="00035CDA" w:rsidRDefault="00035CDA" w:rsidP="00035CDA">
      <w:pPr>
        <w:pStyle w:val="ListParagraph"/>
        <w:numPr>
          <w:ilvl w:val="1"/>
          <w:numId w:val="8"/>
        </w:numPr>
        <w:tabs>
          <w:tab w:val="left" w:pos="7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035CDA">
        <w:rPr>
          <w:rFonts w:ascii="Times New Roman" w:hAnsi="Times New Roman" w:cs="Times New Roman"/>
          <w:sz w:val="24"/>
          <w:szCs w:val="24"/>
        </w:rPr>
        <w:t>Including exotic pests that have been run through the prioritization model but don’t make the top 55?</w:t>
      </w:r>
    </w:p>
    <w:p w:rsidR="00035CDA" w:rsidRDefault="00035CDA" w:rsidP="00035CDA">
      <w:pPr>
        <w:pStyle w:val="ListParagraph"/>
        <w:numPr>
          <w:ilvl w:val="1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035CDA">
        <w:rPr>
          <w:rFonts w:ascii="Times New Roman" w:hAnsi="Times New Roman" w:cs="Times New Roman"/>
          <w:sz w:val="24"/>
          <w:szCs w:val="24"/>
        </w:rPr>
        <w:t>Including exotic pests that may only be of interest to specific geographic areas (tropical pests)?</w:t>
      </w:r>
    </w:p>
    <w:p w:rsidR="00035CDA" w:rsidRDefault="00035CDA" w:rsidP="00035CDA">
      <w:pPr>
        <w:pStyle w:val="ListParagraph"/>
        <w:numPr>
          <w:ilvl w:val="1"/>
          <w:numId w:val="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Including new “hot” pests (NPAG recommendations) that are waiting to be run through the model?</w:t>
      </w: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it be used to capture pests of limited distribution?</w:t>
      </w: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it be used to capture pests that are of wide distribution?</w:t>
      </w:r>
    </w:p>
    <w:p w:rsid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</w:p>
    <w:p w:rsidR="00035CDA" w:rsidRPr="00035CDA" w:rsidRDefault="00035CDA" w:rsidP="00035C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now, it is used for all of these purposes.</w:t>
      </w:r>
    </w:p>
    <w:p w:rsidR="00035CDA" w:rsidRDefault="00035CDA" w:rsidP="00A3397B">
      <w:pPr>
        <w:pStyle w:val="Default"/>
      </w:pPr>
    </w:p>
    <w:p w:rsidR="00EE7F05" w:rsidRPr="00551349" w:rsidRDefault="00FF1A13" w:rsidP="00EE7F0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Questions for discussion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1) What is the purpose of this list?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 xml:space="preserve">2) How is the list being used?  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3) What should the list be used for?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4) How should pests move on and off of the list?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5) Should the list only be for exotic pests (lower ranking pests from AHP, pests of interest to tropical states, etc.)?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>6) If the pests do not need to be exotic:</w:t>
      </w:r>
    </w:p>
    <w:p w:rsidR="00EE7F05" w:rsidRPr="006C46A9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ab/>
        <w:t xml:space="preserve">6a) Can the pest be non-reportable? </w:t>
      </w:r>
    </w:p>
    <w:p w:rsidR="00EE7F05" w:rsidRDefault="00EE7F05" w:rsidP="00EE7F05">
      <w:pPr>
        <w:rPr>
          <w:rFonts w:ascii="Times New Roman" w:hAnsi="Times New Roman" w:cs="Times New Roman"/>
          <w:sz w:val="24"/>
          <w:szCs w:val="24"/>
        </w:rPr>
      </w:pPr>
      <w:r w:rsidRPr="006C46A9">
        <w:rPr>
          <w:rFonts w:ascii="Times New Roman" w:hAnsi="Times New Roman" w:cs="Times New Roman"/>
          <w:sz w:val="24"/>
          <w:szCs w:val="24"/>
        </w:rPr>
        <w:tab/>
        <w:t>6b) How wide can the distribution be?</w:t>
      </w:r>
    </w:p>
    <w:p w:rsidR="000C471D" w:rsidRPr="006C46A9" w:rsidRDefault="000C471D" w:rsidP="00EE7F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6c) Should these be placed on a separate list?</w:t>
      </w:r>
    </w:p>
    <w:p w:rsidR="00EE7F05" w:rsidRDefault="000C471D" w:rsidP="00EE7F05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6d) </w:t>
      </w:r>
      <w:proofErr w:type="gramStart"/>
      <w:r w:rsidR="00EE7F05" w:rsidRPr="006C46A9">
        <w:rPr>
          <w:rFonts w:ascii="Times New Roman" w:hAnsi="Times New Roman" w:cs="Times New Roman"/>
          <w:sz w:val="24"/>
          <w:szCs w:val="24"/>
        </w:rPr>
        <w:t>Can</w:t>
      </w:r>
      <w:proofErr w:type="gramEnd"/>
      <w:r w:rsidR="00EE7F05" w:rsidRPr="006C46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list</w:t>
      </w:r>
      <w:r w:rsidR="00EE7F05" w:rsidRPr="006C46A9">
        <w:rPr>
          <w:rFonts w:ascii="Times New Roman" w:hAnsi="Times New Roman" w:cs="Times New Roman"/>
          <w:sz w:val="24"/>
          <w:szCs w:val="24"/>
        </w:rPr>
        <w:t xml:space="preserve"> include pests like Sirex that </w:t>
      </w:r>
      <w:r w:rsidR="00EE7F05">
        <w:rPr>
          <w:rFonts w:ascii="Times New Roman" w:hAnsi="Times New Roman" w:cs="Times New Roman"/>
          <w:sz w:val="24"/>
          <w:szCs w:val="24"/>
        </w:rPr>
        <w:t>are no longer supported by</w:t>
      </w:r>
      <w:r w:rsidR="00EE7F05" w:rsidRPr="006C46A9">
        <w:rPr>
          <w:rFonts w:ascii="Times New Roman" w:hAnsi="Times New Roman" w:cs="Times New Roman"/>
          <w:sz w:val="24"/>
          <w:szCs w:val="24"/>
        </w:rPr>
        <w:t xml:space="preserve"> PPQ?</w:t>
      </w:r>
    </w:p>
    <w:p w:rsidR="00FF1A13" w:rsidRDefault="00FF1A13" w:rsidP="00551349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lastRenderedPageBreak/>
        <w:t>Additional Information</w:t>
      </w:r>
    </w:p>
    <w:p w:rsidR="00FF1A13" w:rsidRDefault="00FF1A13" w:rsidP="00551349">
      <w:pPr>
        <w:rPr>
          <w:rFonts w:ascii="Times New Roman" w:hAnsi="Times New Roman" w:cs="Times New Roman"/>
          <w:b/>
          <w:sz w:val="26"/>
          <w:szCs w:val="26"/>
        </w:rPr>
      </w:pPr>
    </w:p>
    <w:p w:rsidR="00551349" w:rsidRPr="00FF1A13" w:rsidRDefault="00AD08CF" w:rsidP="00551349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FF1A13">
        <w:rPr>
          <w:rFonts w:ascii="Times New Roman" w:hAnsi="Times New Roman" w:cs="Times New Roman"/>
          <w:b/>
          <w:color w:val="0070C0"/>
          <w:sz w:val="26"/>
          <w:szCs w:val="26"/>
        </w:rPr>
        <w:t>Non-reportable Pests on the 2013 Additional List</w:t>
      </w:r>
    </w:p>
    <w:p w:rsidR="00551349" w:rsidRPr="00AB28E9" w:rsidRDefault="00551349" w:rsidP="005513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Callidiellum</w:t>
      </w:r>
      <w:proofErr w:type="spellEnd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rufipenne</w:t>
      </w:r>
      <w:proofErr w:type="spellEnd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(NAPIS data: positive data from 5 states, not sure when it was made non-reportable.)</w:t>
      </w:r>
    </w:p>
    <w:p w:rsidR="00551349" w:rsidRPr="00AB28E9" w:rsidRDefault="00551349" w:rsidP="00551349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1" w:name="OLE_LINK1"/>
      <w:bookmarkStart w:id="2" w:name="OLE_LINK2"/>
      <w:proofErr w:type="spellStart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Cydalima</w:t>
      </w:r>
      <w:proofErr w:type="spellEnd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B28E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perspectalis</w:t>
      </w:r>
      <w:proofErr w:type="spellEnd"/>
      <w:r w:rsidRPr="00AB28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1"/>
      <w:bookmarkEnd w:id="2"/>
      <w:r w:rsidRPr="00AB28E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Talitha found this pest to be non-reportable in PestID.)</w:t>
      </w:r>
    </w:p>
    <w:p w:rsidR="00551349" w:rsidRPr="004065F7" w:rsidRDefault="00551349" w:rsidP="005513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65F7">
        <w:rPr>
          <w:rFonts w:ascii="Times New Roman" w:hAnsi="Times New Roman" w:cs="Times New Roman"/>
          <w:i/>
          <w:iCs/>
          <w:sz w:val="24"/>
          <w:szCs w:val="24"/>
        </w:rPr>
        <w:t>Hylurgus</w:t>
      </w:r>
      <w:proofErr w:type="spellEnd"/>
      <w:r w:rsidRPr="004065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65F7">
        <w:rPr>
          <w:rFonts w:ascii="Times New Roman" w:hAnsi="Times New Roman" w:cs="Times New Roman"/>
          <w:i/>
          <w:iCs/>
          <w:sz w:val="24"/>
          <w:szCs w:val="24"/>
        </w:rPr>
        <w:t>ligniperda</w:t>
      </w:r>
      <w:proofErr w:type="spellEnd"/>
      <w:r w:rsidRPr="004065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065F7">
        <w:rPr>
          <w:rFonts w:ascii="Times New Roman" w:hAnsi="Times New Roman" w:cs="Times New Roman"/>
          <w:iCs/>
          <w:sz w:val="24"/>
          <w:szCs w:val="24"/>
        </w:rPr>
        <w:t>(</w:t>
      </w:r>
      <w:r w:rsidRPr="004065F7">
        <w:rPr>
          <w:rFonts w:ascii="Times New Roman" w:hAnsi="Times New Roman" w:cs="Times New Roman"/>
          <w:sz w:val="24"/>
          <w:szCs w:val="24"/>
        </w:rPr>
        <w:t>De-regulated and made non-reportable in 2012.)</w:t>
      </w:r>
    </w:p>
    <w:p w:rsidR="00551349" w:rsidRDefault="00551349" w:rsidP="005513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65F7">
        <w:rPr>
          <w:rFonts w:ascii="Times New Roman" w:hAnsi="Times New Roman" w:cs="Times New Roman"/>
          <w:i/>
          <w:iCs/>
          <w:sz w:val="24"/>
          <w:szCs w:val="24"/>
        </w:rPr>
        <w:t>Planococcus</w:t>
      </w:r>
      <w:proofErr w:type="spellEnd"/>
      <w:r w:rsidRPr="004065F7">
        <w:rPr>
          <w:rFonts w:ascii="Times New Roman" w:hAnsi="Times New Roman" w:cs="Times New Roman"/>
          <w:i/>
          <w:iCs/>
          <w:sz w:val="24"/>
          <w:szCs w:val="24"/>
        </w:rPr>
        <w:t xml:space="preserve"> minor </w:t>
      </w:r>
      <w:r w:rsidRPr="00551349">
        <w:rPr>
          <w:rFonts w:ascii="Times New Roman" w:hAnsi="Times New Roman" w:cs="Times New Roman"/>
          <w:iCs/>
          <w:sz w:val="24"/>
          <w:szCs w:val="24"/>
        </w:rPr>
        <w:t>(</w:t>
      </w:r>
      <w:r w:rsidRPr="00551349">
        <w:rPr>
          <w:rFonts w:ascii="Times New Roman" w:hAnsi="Times New Roman" w:cs="Times New Roman"/>
          <w:sz w:val="24"/>
          <w:szCs w:val="24"/>
        </w:rPr>
        <w:t>De-regulated and made non-reportable in 2012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65F7">
        <w:rPr>
          <w:rFonts w:ascii="Times New Roman" w:hAnsi="Times New Roman" w:cs="Times New Roman"/>
          <w:sz w:val="24"/>
          <w:szCs w:val="24"/>
        </w:rPr>
        <w:t xml:space="preserve">  This is a lingering PLWG issue from 2013.)</w:t>
      </w:r>
    </w:p>
    <w:p w:rsidR="00551349" w:rsidRDefault="00551349" w:rsidP="0055134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51349">
        <w:rPr>
          <w:rFonts w:ascii="Times New Roman" w:hAnsi="Times New Roman" w:cs="Times New Roman"/>
          <w:i/>
          <w:sz w:val="24"/>
          <w:szCs w:val="24"/>
        </w:rPr>
        <w:t>Yponomeuta</w:t>
      </w:r>
      <w:proofErr w:type="spellEnd"/>
      <w:r w:rsidRPr="005513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1349">
        <w:rPr>
          <w:rFonts w:ascii="Times New Roman" w:hAnsi="Times New Roman" w:cs="Times New Roman"/>
          <w:i/>
          <w:sz w:val="24"/>
          <w:szCs w:val="24"/>
        </w:rPr>
        <w:t>malinellus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1349">
        <w:rPr>
          <w:rFonts w:ascii="Times New Roman" w:hAnsi="Times New Roman" w:cs="Times New Roman"/>
          <w:iCs/>
          <w:sz w:val="24"/>
          <w:szCs w:val="24"/>
        </w:rPr>
        <w:t>(</w:t>
      </w:r>
      <w:r w:rsidRPr="00551349">
        <w:rPr>
          <w:rFonts w:ascii="Times New Roman" w:hAnsi="Times New Roman" w:cs="Times New Roman"/>
          <w:sz w:val="24"/>
          <w:szCs w:val="24"/>
        </w:rPr>
        <w:t>De-regulated and made non-reportable in 2012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49">
        <w:rPr>
          <w:rFonts w:ascii="Times New Roman" w:hAnsi="Times New Roman" w:cs="Times New Roman"/>
          <w:sz w:val="24"/>
          <w:szCs w:val="24"/>
        </w:rPr>
        <w:t>)</w:t>
      </w:r>
    </w:p>
    <w:p w:rsidR="006E72F2" w:rsidRPr="00FF1A13" w:rsidRDefault="006E72F2" w:rsidP="00551349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FF1A13" w:rsidRDefault="00FF1A13" w:rsidP="00551349">
      <w:pPr>
        <w:rPr>
          <w:rFonts w:ascii="Times New Roman" w:hAnsi="Times New Roman" w:cs="Times New Roman"/>
          <w:b/>
          <w:color w:val="0070C0"/>
          <w:sz w:val="26"/>
          <w:szCs w:val="26"/>
        </w:rPr>
      </w:pPr>
    </w:p>
    <w:p w:rsidR="006E72F2" w:rsidRPr="00FF1A13" w:rsidRDefault="006E72F2" w:rsidP="00551349">
      <w:pPr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FF1A13">
        <w:rPr>
          <w:rFonts w:ascii="Times New Roman" w:hAnsi="Times New Roman" w:cs="Times New Roman"/>
          <w:b/>
          <w:color w:val="0070C0"/>
          <w:sz w:val="26"/>
          <w:szCs w:val="26"/>
        </w:rPr>
        <w:t>Current Types of Pests on the Additional List</w:t>
      </w:r>
    </w:p>
    <w:p w:rsidR="00F44827" w:rsidRDefault="00F44827" w:rsidP="00551349">
      <w:pPr>
        <w:rPr>
          <w:rFonts w:ascii="Times New Roman" w:hAnsi="Times New Roman" w:cs="Times New Roman"/>
          <w:b/>
          <w:sz w:val="26"/>
          <w:szCs w:val="26"/>
        </w:rPr>
      </w:pPr>
    </w:p>
    <w:p w:rsidR="00123D04" w:rsidRDefault="00657A0F" w:rsidP="00123D0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F44827">
        <w:rPr>
          <w:rFonts w:ascii="Times New Roman" w:hAnsi="Times New Roman" w:cs="Times New Roman"/>
          <w:b/>
          <w:sz w:val="26"/>
          <w:szCs w:val="26"/>
        </w:rPr>
        <w:t>NPAG</w:t>
      </w:r>
    </w:p>
    <w:p w:rsidR="000F5FF8" w:rsidRPr="00123D04" w:rsidRDefault="000F5FF8" w:rsidP="00123D04">
      <w:pPr>
        <w:rPr>
          <w:rFonts w:ascii="Times New Roman" w:hAnsi="Times New Roman" w:cs="Times New Roman"/>
          <w:b/>
          <w:sz w:val="26"/>
          <w:szCs w:val="26"/>
        </w:rPr>
      </w:pPr>
      <w:r w:rsidRPr="00C85E15">
        <w:rPr>
          <w:rFonts w:ascii="Times New Roman" w:hAnsi="Times New Roman" w:cs="Times New Roman"/>
          <w:sz w:val="24"/>
          <w:szCs w:val="24"/>
        </w:rPr>
        <w:t xml:space="preserve">A mix of </w:t>
      </w:r>
      <w:r w:rsidR="007B59DD">
        <w:rPr>
          <w:rFonts w:ascii="Times New Roman" w:hAnsi="Times New Roman" w:cs="Times New Roman"/>
          <w:sz w:val="24"/>
          <w:szCs w:val="24"/>
        </w:rPr>
        <w:t>new</w:t>
      </w:r>
      <w:r w:rsidR="00123D04">
        <w:rPr>
          <w:rFonts w:ascii="Times New Roman" w:hAnsi="Times New Roman" w:cs="Times New Roman"/>
          <w:sz w:val="24"/>
          <w:szCs w:val="24"/>
        </w:rPr>
        <w:t xml:space="preserve"> exotic pests, </w:t>
      </w:r>
      <w:r w:rsidRPr="00C85E15">
        <w:rPr>
          <w:rFonts w:ascii="Times New Roman" w:hAnsi="Times New Roman" w:cs="Times New Roman"/>
          <w:sz w:val="24"/>
          <w:szCs w:val="24"/>
        </w:rPr>
        <w:t xml:space="preserve">pests of limited distribution, </w:t>
      </w:r>
      <w:r w:rsidR="00123D04">
        <w:rPr>
          <w:rFonts w:ascii="Times New Roman" w:hAnsi="Times New Roman" w:cs="Times New Roman"/>
          <w:sz w:val="24"/>
          <w:szCs w:val="24"/>
        </w:rPr>
        <w:t xml:space="preserve">and widely distributed pests. </w:t>
      </w:r>
    </w:p>
    <w:p w:rsidR="003835D8" w:rsidRDefault="003835D8" w:rsidP="00551349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3304"/>
        <w:gridCol w:w="3540"/>
        <w:gridCol w:w="3340"/>
      </w:tblGrid>
      <w:tr w:rsidR="00F44827" w:rsidRPr="00F44827" w:rsidTr="00123D04">
        <w:trPr>
          <w:trHeight w:val="63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Scientific Name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Common Name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Distribution in the U.S.</w:t>
            </w:r>
          </w:p>
        </w:tc>
      </w:tr>
      <w:tr w:rsidR="00F44827" w:rsidRPr="00F44827" w:rsidTr="00123D04">
        <w:trPr>
          <w:trHeight w:val="63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4700EF" w:rsidRDefault="00F44827" w:rsidP="00F44827">
            <w:pPr>
              <w:rPr>
                <w:rFonts w:eastAsia="Times New Roman" w:cs="Times New Roman"/>
              </w:rPr>
            </w:pPr>
            <w:proofErr w:type="spellStart"/>
            <w:r w:rsidRPr="004700EF">
              <w:rPr>
                <w:rFonts w:eastAsia="Times New Roman" w:cs="Times New Roman"/>
                <w:i/>
                <w:iCs/>
              </w:rPr>
              <w:t>Cylindrocladium</w:t>
            </w:r>
            <w:proofErr w:type="spellEnd"/>
            <w:r w:rsidRPr="004700EF">
              <w:rPr>
                <w:rFonts w:eastAsia="Times New Roman" w:cs="Times New Roman"/>
                <w:i/>
                <w:iCs/>
              </w:rPr>
              <w:t xml:space="preserve"> </w:t>
            </w:r>
            <w:proofErr w:type="spellStart"/>
            <w:r w:rsidRPr="004700EF">
              <w:rPr>
                <w:rFonts w:eastAsia="Times New Roman" w:cs="Times New Roman"/>
                <w:i/>
                <w:iCs/>
              </w:rPr>
              <w:t>pseudonaviculatum</w:t>
            </w:r>
            <w:proofErr w:type="spellEnd"/>
            <w:r w:rsidRPr="004700EF">
              <w:rPr>
                <w:rFonts w:eastAsia="Times New Roman" w:cs="Times New Roman"/>
              </w:rPr>
              <w:t xml:space="preserve"> (</w:t>
            </w:r>
            <w:proofErr w:type="spellStart"/>
            <w:r w:rsidRPr="004700EF">
              <w:rPr>
                <w:rFonts w:eastAsia="Times New Roman" w:cs="Times New Roman"/>
                <w:i/>
                <w:iCs/>
              </w:rPr>
              <w:t>Calonectria</w:t>
            </w:r>
            <w:proofErr w:type="spellEnd"/>
            <w:r w:rsidRPr="004700EF">
              <w:rPr>
                <w:rFonts w:eastAsia="Times New Roman" w:cs="Times New Roman"/>
                <w:i/>
                <w:iCs/>
              </w:rPr>
              <w:t xml:space="preserve"> </w:t>
            </w:r>
            <w:proofErr w:type="spellStart"/>
            <w:r w:rsidRPr="004700EF">
              <w:rPr>
                <w:rFonts w:eastAsia="Times New Roman" w:cs="Times New Roman"/>
                <w:i/>
                <w:iCs/>
              </w:rPr>
              <w:t>pseudonaviculata</w:t>
            </w:r>
            <w:proofErr w:type="spellEnd"/>
            <w:r w:rsidRPr="004700EF">
              <w:rPr>
                <w:rFonts w:eastAsia="Times New Roman" w:cs="Times New Roman"/>
              </w:rPr>
              <w:t>)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Boxwood blight; leaf and stem blight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</w:rPr>
            </w:pPr>
            <w:r w:rsidRPr="00F44827">
              <w:rPr>
                <w:rFonts w:eastAsia="Times New Roman" w:cs="Times New Roman"/>
                <w:color w:val="000000"/>
              </w:rPr>
              <w:t>CT,MA, MD, NC, NY, OR, PA, RI, and VA</w:t>
            </w:r>
          </w:p>
        </w:tc>
      </w:tr>
      <w:tr w:rsidR="004700EF" w:rsidRPr="00F44827" w:rsidTr="00123D04">
        <w:trPr>
          <w:trHeight w:val="60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:rsidR="004700EF" w:rsidRPr="004700EF" w:rsidRDefault="004700EF" w:rsidP="00F44827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700EF">
              <w:rPr>
                <w:i/>
                <w:iCs/>
                <w:sz w:val="23"/>
                <w:szCs w:val="23"/>
              </w:rPr>
              <w:t>Geosmithia</w:t>
            </w:r>
            <w:proofErr w:type="spellEnd"/>
            <w:r w:rsidRPr="004700EF">
              <w:rPr>
                <w:i/>
                <w:iCs/>
                <w:sz w:val="23"/>
                <w:szCs w:val="23"/>
              </w:rPr>
              <w:t xml:space="preserve"> </w:t>
            </w:r>
            <w:proofErr w:type="spellStart"/>
            <w:r w:rsidRPr="004700EF">
              <w:rPr>
                <w:i/>
                <w:iCs/>
                <w:sz w:val="23"/>
                <w:szCs w:val="23"/>
              </w:rPr>
              <w:t>morbida</w:t>
            </w:r>
            <w:proofErr w:type="spellEnd"/>
            <w:r w:rsidRPr="004700EF">
              <w:rPr>
                <w:i/>
                <w:iCs/>
                <w:sz w:val="23"/>
                <w:szCs w:val="23"/>
              </w:rPr>
              <w:t xml:space="preserve"> </w:t>
            </w:r>
            <w:r w:rsidRPr="004700EF">
              <w:rPr>
                <w:sz w:val="23"/>
                <w:szCs w:val="23"/>
              </w:rPr>
              <w:t>(provisional name)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:rsidR="004700EF" w:rsidRPr="00F44827" w:rsidRDefault="004700EF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700EF">
              <w:rPr>
                <w:color w:val="000000"/>
                <w:sz w:val="23"/>
                <w:szCs w:val="23"/>
              </w:rPr>
              <w:t>Thousand cankers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</w:tcPr>
          <w:p w:rsidR="004700EF" w:rsidRDefault="004700EF" w:rsidP="006A20F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FL, GA, MI, and SC</w:t>
            </w:r>
          </w:p>
        </w:tc>
      </w:tr>
      <w:tr w:rsidR="00F44827" w:rsidRPr="00F44827" w:rsidTr="00123D04">
        <w:trPr>
          <w:trHeight w:val="60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4700EF" w:rsidRDefault="00F44827" w:rsidP="00F44827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>Gymnosporangium</w:t>
            </w:r>
            <w:proofErr w:type="spellEnd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>yamadae</w:t>
            </w:r>
            <w:proofErr w:type="spellEnd"/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Japanese apple rust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657A0F" w:rsidP="006A20F0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DE, </w:t>
            </w:r>
            <w:r w:rsidR="006A20F0">
              <w:rPr>
                <w:rFonts w:eastAsia="Times New Roman" w:cs="Times New Roman"/>
                <w:color w:val="000000"/>
              </w:rPr>
              <w:t xml:space="preserve">MD, ME, NH, NJ, NY, </w:t>
            </w:r>
            <w:r>
              <w:rPr>
                <w:rFonts w:eastAsia="Times New Roman" w:cs="Times New Roman"/>
                <w:color w:val="000000"/>
              </w:rPr>
              <w:t>PA</w:t>
            </w:r>
            <w:r w:rsidR="006A20F0">
              <w:rPr>
                <w:rFonts w:eastAsia="Times New Roman" w:cs="Times New Roman"/>
                <w:color w:val="000000"/>
              </w:rPr>
              <w:t>,</w:t>
            </w:r>
            <w:r w:rsidR="006A20F0">
              <w:rPr>
                <w:rFonts w:ascii="Arial" w:hAnsi="Arial" w:cs="Arial"/>
                <w:sz w:val="19"/>
                <w:szCs w:val="19"/>
              </w:rPr>
              <w:t xml:space="preserve"> and RI.</w:t>
            </w:r>
          </w:p>
        </w:tc>
      </w:tr>
      <w:tr w:rsidR="00F44827" w:rsidRPr="00F44827" w:rsidTr="00123D04">
        <w:trPr>
          <w:trHeight w:val="60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4700EF" w:rsidRDefault="00F44827" w:rsidP="00F44827">
            <w:pPr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>Monsoma</w:t>
            </w:r>
            <w:proofErr w:type="spellEnd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700EF">
              <w:rPr>
                <w:rFonts w:eastAsia="Times New Roman" w:cs="Times New Roman"/>
                <w:i/>
                <w:iCs/>
                <w:sz w:val="24"/>
                <w:szCs w:val="24"/>
              </w:rPr>
              <w:t>pulveratum</w:t>
            </w:r>
            <w:proofErr w:type="spellEnd"/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Green alder sawfly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</w:rPr>
            </w:pPr>
            <w:r w:rsidRPr="00F44827">
              <w:rPr>
                <w:rFonts w:eastAsia="Times New Roman" w:cs="Times New Roman"/>
                <w:color w:val="000000"/>
              </w:rPr>
              <w:t>Widely established in AL, OR, WA; present in ID.</w:t>
            </w:r>
          </w:p>
        </w:tc>
      </w:tr>
      <w:tr w:rsidR="00F44827" w:rsidRPr="00F44827" w:rsidTr="00123D04">
        <w:trPr>
          <w:trHeight w:val="315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4700EF" w:rsidRDefault="00804E99" w:rsidP="00F44827">
            <w:pPr>
              <w:rPr>
                <w:rFonts w:eastAsia="Times New Roman" w:cs="Times New Roman"/>
                <w:i/>
                <w:iCs/>
              </w:rPr>
            </w:pPr>
            <w:hyperlink r:id="rId8" w:history="1">
              <w:proofErr w:type="spellStart"/>
              <w:r w:rsidR="00F44827" w:rsidRPr="004700EF">
                <w:rPr>
                  <w:rFonts w:eastAsia="Times New Roman" w:cs="Times New Roman"/>
                  <w:i/>
                  <w:iCs/>
                </w:rPr>
                <w:t>Neoleucinodes</w:t>
              </w:r>
              <w:proofErr w:type="spellEnd"/>
              <w:r w:rsidR="00F44827" w:rsidRPr="004700EF">
                <w:rPr>
                  <w:rFonts w:eastAsia="Times New Roman" w:cs="Times New Roman"/>
                  <w:i/>
                  <w:iCs/>
                </w:rPr>
                <w:t xml:space="preserve"> </w:t>
              </w:r>
              <w:proofErr w:type="spellStart"/>
              <w:r w:rsidR="00F44827" w:rsidRPr="004700EF">
                <w:rPr>
                  <w:rFonts w:eastAsia="Times New Roman" w:cs="Times New Roman"/>
                  <w:i/>
                  <w:iCs/>
                </w:rPr>
                <w:t>elegantalis</w:t>
              </w:r>
              <w:proofErr w:type="spellEnd"/>
            </w:hyperlink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Tomato fru</w:t>
            </w:r>
            <w:r w:rsidR="00FF1A13">
              <w:rPr>
                <w:rFonts w:eastAsia="Times New Roman" w:cs="Times New Roman"/>
                <w:color w:val="000000"/>
                <w:sz w:val="24"/>
                <w:szCs w:val="24"/>
              </w:rPr>
              <w:t>i</w:t>
            </w: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t borer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</w:rPr>
            </w:pPr>
            <w:r w:rsidRPr="00F44827">
              <w:rPr>
                <w:rFonts w:eastAsia="Times New Roman" w:cs="Times New Roman"/>
                <w:color w:val="000000"/>
              </w:rPr>
              <w:t>Exotic</w:t>
            </w:r>
          </w:p>
        </w:tc>
      </w:tr>
      <w:tr w:rsidR="00F44827" w:rsidRPr="00F44827" w:rsidTr="00123D04">
        <w:trPr>
          <w:trHeight w:val="315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4700EF" w:rsidRDefault="00804E99" w:rsidP="00F44827">
            <w:pPr>
              <w:rPr>
                <w:rFonts w:eastAsia="Times New Roman" w:cs="Times New Roman"/>
                <w:i/>
                <w:iCs/>
              </w:rPr>
            </w:pPr>
            <w:hyperlink r:id="rId9" w:history="1">
              <w:proofErr w:type="spellStart"/>
              <w:r w:rsidR="00F44827" w:rsidRPr="004700EF">
                <w:rPr>
                  <w:rFonts w:eastAsia="Times New Roman" w:cs="Times New Roman"/>
                  <w:i/>
                  <w:iCs/>
                </w:rPr>
                <w:t>Tecia</w:t>
              </w:r>
              <w:proofErr w:type="spellEnd"/>
              <w:r w:rsidR="00F44827" w:rsidRPr="004700EF">
                <w:rPr>
                  <w:rFonts w:eastAsia="Times New Roman" w:cs="Times New Roman"/>
                  <w:i/>
                  <w:iCs/>
                </w:rPr>
                <w:t xml:space="preserve"> </w:t>
              </w:r>
              <w:proofErr w:type="spellStart"/>
              <w:r w:rsidR="00F44827" w:rsidRPr="004700EF">
                <w:rPr>
                  <w:rFonts w:eastAsia="Times New Roman" w:cs="Times New Roman"/>
                  <w:i/>
                  <w:iCs/>
                </w:rPr>
                <w:t>solanivora</w:t>
              </w:r>
              <w:proofErr w:type="spellEnd"/>
            </w:hyperlink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color w:val="000000"/>
                <w:sz w:val="24"/>
                <w:szCs w:val="24"/>
              </w:rPr>
              <w:t>Guatemalan potato moth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44827" w:rsidRPr="00F44827" w:rsidRDefault="00F44827" w:rsidP="00F44827">
            <w:pPr>
              <w:rPr>
                <w:rFonts w:eastAsia="Times New Roman" w:cs="Times New Roman"/>
                <w:color w:val="000000"/>
              </w:rPr>
            </w:pPr>
            <w:r w:rsidRPr="00F44827">
              <w:rPr>
                <w:rFonts w:eastAsia="Times New Roman" w:cs="Times New Roman"/>
                <w:color w:val="000000"/>
              </w:rPr>
              <w:t>Exotic</w:t>
            </w:r>
          </w:p>
        </w:tc>
      </w:tr>
    </w:tbl>
    <w:p w:rsidR="00F44827" w:rsidRPr="006E72F2" w:rsidRDefault="00F44827" w:rsidP="00551349">
      <w:pPr>
        <w:rPr>
          <w:rFonts w:ascii="Times New Roman" w:hAnsi="Times New Roman" w:cs="Times New Roman"/>
          <w:b/>
          <w:i/>
          <w:iCs/>
          <w:sz w:val="26"/>
          <w:szCs w:val="26"/>
        </w:rPr>
      </w:pPr>
    </w:p>
    <w:p w:rsidR="004700EF" w:rsidRPr="004700EF" w:rsidRDefault="004700EF" w:rsidP="004700EF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A5FD7" w:rsidRDefault="00657A0F" w:rsidP="00CA5FD7">
      <w:pPr>
        <w:pStyle w:val="Default"/>
        <w:rPr>
          <w:b/>
        </w:rPr>
      </w:pPr>
      <w:r w:rsidRPr="00CA5FD7">
        <w:rPr>
          <w:b/>
        </w:rPr>
        <w:t xml:space="preserve">2. </w:t>
      </w:r>
      <w:r w:rsidR="00CA5FD7" w:rsidRPr="00CA5FD7">
        <w:rPr>
          <w:b/>
        </w:rPr>
        <w:t>National Plant Board</w:t>
      </w:r>
    </w:p>
    <w:p w:rsidR="00CA5FD7" w:rsidRPr="00544681" w:rsidRDefault="00544681" w:rsidP="00C76E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44681">
        <w:rPr>
          <w:rFonts w:ascii="Times New Roman" w:hAnsi="Times New Roman" w:cs="Times New Roman"/>
          <w:color w:val="000000"/>
          <w:sz w:val="24"/>
          <w:szCs w:val="24"/>
        </w:rPr>
        <w:t>What to do with this pest?</w:t>
      </w:r>
      <w:r w:rsidR="00123D0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44681" w:rsidRDefault="00544681" w:rsidP="00C76E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44" w:type="dxa"/>
        <w:tblInd w:w="108" w:type="dxa"/>
        <w:tblLook w:val="04A0" w:firstRow="1" w:lastRow="0" w:firstColumn="1" w:lastColumn="0" w:noHBand="0" w:noVBand="1"/>
      </w:tblPr>
      <w:tblGrid>
        <w:gridCol w:w="3330"/>
        <w:gridCol w:w="3510"/>
        <w:gridCol w:w="3304"/>
      </w:tblGrid>
      <w:tr w:rsidR="00544681" w:rsidRPr="00CA5FD7" w:rsidTr="00123D04">
        <w:trPr>
          <w:trHeight w:val="366"/>
        </w:trPr>
        <w:tc>
          <w:tcPr>
            <w:tcW w:w="333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FFFFFF" w:themeFill="background1"/>
          </w:tcPr>
          <w:p w:rsidR="00544681" w:rsidRPr="00F44827" w:rsidRDefault="00544681" w:rsidP="003C08B3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Scientific Name</w:t>
            </w:r>
          </w:p>
        </w:tc>
        <w:tc>
          <w:tcPr>
            <w:tcW w:w="35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FFFFFF" w:themeFill="background1"/>
          </w:tcPr>
          <w:p w:rsidR="00544681" w:rsidRPr="00F44827" w:rsidRDefault="00544681" w:rsidP="003C08B3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Common Name</w:t>
            </w:r>
          </w:p>
        </w:tc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FFFFFF" w:themeFill="background1"/>
          </w:tcPr>
          <w:p w:rsidR="00544681" w:rsidRPr="00F44827" w:rsidRDefault="00544681" w:rsidP="003C08B3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482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Distribution in the U.S.</w:t>
            </w:r>
          </w:p>
        </w:tc>
      </w:tr>
      <w:tr w:rsidR="00544681" w:rsidRPr="00CA5FD7" w:rsidTr="00123D04">
        <w:trPr>
          <w:trHeight w:val="366"/>
        </w:trPr>
        <w:tc>
          <w:tcPr>
            <w:tcW w:w="333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544681" w:rsidRPr="00CA5FD7" w:rsidRDefault="00804E99" w:rsidP="00CA5FD7">
            <w:pPr>
              <w:rPr>
                <w:rFonts w:eastAsia="Times New Roman" w:cs="Times New Roman"/>
                <w:i/>
                <w:iCs/>
                <w:color w:val="0000FF"/>
                <w:u w:val="single"/>
              </w:rPr>
            </w:pPr>
            <w:hyperlink r:id="rId10" w:history="1">
              <w:proofErr w:type="spellStart"/>
              <w:r w:rsidR="00544681" w:rsidRPr="00CA5FD7">
                <w:rPr>
                  <w:rFonts w:eastAsia="Times New Roman" w:cs="Times New Roman"/>
                  <w:i/>
                  <w:iCs/>
                  <w:color w:val="0000FF"/>
                  <w:u w:val="single"/>
                </w:rPr>
                <w:t>Acrolepiopsis</w:t>
              </w:r>
              <w:proofErr w:type="spellEnd"/>
              <w:r w:rsidR="00544681" w:rsidRPr="00CA5FD7">
                <w:rPr>
                  <w:rFonts w:eastAsia="Times New Roman" w:cs="Times New Roman"/>
                  <w:i/>
                  <w:iCs/>
                  <w:color w:val="0000FF"/>
                  <w:u w:val="single"/>
                </w:rPr>
                <w:t xml:space="preserve"> </w:t>
              </w:r>
              <w:proofErr w:type="spellStart"/>
              <w:r w:rsidR="00544681" w:rsidRPr="00CA5FD7">
                <w:rPr>
                  <w:rFonts w:eastAsia="Times New Roman" w:cs="Times New Roman"/>
                  <w:i/>
                  <w:iCs/>
                  <w:color w:val="0000FF"/>
                  <w:u w:val="single"/>
                </w:rPr>
                <w:t>assectella</w:t>
              </w:r>
              <w:proofErr w:type="spellEnd"/>
            </w:hyperlink>
          </w:p>
        </w:tc>
        <w:tc>
          <w:tcPr>
            <w:tcW w:w="351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544681" w:rsidRPr="00CA5FD7" w:rsidRDefault="00544681" w:rsidP="00CA5FD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>Leek moth</w:t>
            </w:r>
          </w:p>
        </w:tc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</w:tcPr>
          <w:p w:rsidR="00544681" w:rsidRPr="00CA5FD7" w:rsidRDefault="00544681" w:rsidP="00CA5FD7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HI, NY</w:t>
            </w:r>
          </w:p>
        </w:tc>
      </w:tr>
    </w:tbl>
    <w:p w:rsidR="00CA5FD7" w:rsidRDefault="00CA5FD7" w:rsidP="00C76E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23D04" w:rsidRDefault="00123D04" w:rsidP="00C76E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51349" w:rsidRDefault="00C85E15" w:rsidP="00C76E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657A0F" w:rsidRPr="00657A0F">
        <w:rPr>
          <w:rFonts w:ascii="Times New Roman" w:hAnsi="Times New Roman" w:cs="Times New Roman"/>
          <w:b/>
          <w:color w:val="000000"/>
          <w:sz w:val="24"/>
          <w:szCs w:val="24"/>
        </w:rPr>
        <w:t>Previously listed on an AHP List from 2011 or earlier</w:t>
      </w:r>
    </w:p>
    <w:p w:rsidR="00657A0F" w:rsidRPr="00657A0F" w:rsidRDefault="00657A0F" w:rsidP="00657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57A0F">
        <w:rPr>
          <w:rFonts w:ascii="Times New Roman" w:hAnsi="Times New Roman" w:cs="Times New Roman"/>
          <w:color w:val="000000"/>
          <w:sz w:val="24"/>
          <w:szCs w:val="24"/>
        </w:rPr>
        <w:t>These pests ranked below the cutoff point (#5</w:t>
      </w:r>
      <w:r w:rsidR="00EE7F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57A0F">
        <w:rPr>
          <w:rFonts w:ascii="Times New Roman" w:hAnsi="Times New Roman" w:cs="Times New Roman"/>
          <w:color w:val="000000"/>
          <w:sz w:val="24"/>
          <w:szCs w:val="24"/>
        </w:rPr>
        <w:t>?) on the 2011 AHP List when we reduced the list from 100+ pests to 5</w:t>
      </w:r>
      <w:r w:rsidR="00EE7F0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A2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F05">
        <w:rPr>
          <w:rFonts w:ascii="Times New Roman" w:hAnsi="Times New Roman" w:cs="Times New Roman"/>
          <w:color w:val="000000"/>
          <w:sz w:val="24"/>
          <w:szCs w:val="24"/>
        </w:rPr>
        <w:t>in FY2010/ 2011</w:t>
      </w:r>
      <w:r w:rsidRPr="00657A0F">
        <w:rPr>
          <w:rFonts w:ascii="Times New Roman" w:hAnsi="Times New Roman" w:cs="Times New Roman"/>
          <w:color w:val="000000"/>
          <w:sz w:val="24"/>
          <w:szCs w:val="24"/>
        </w:rPr>
        <w:t>.  They have not been re-analyzed.</w:t>
      </w:r>
    </w:p>
    <w:p w:rsidR="00657A0F" w:rsidRDefault="00657A0F" w:rsidP="00657A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657A0F">
        <w:rPr>
          <w:rFonts w:ascii="Times New Roman" w:hAnsi="Times New Roman" w:cs="Times New Roman"/>
          <w:color w:val="000000"/>
          <w:sz w:val="24"/>
          <w:szCs w:val="24"/>
        </w:rPr>
        <w:t>36 out of 37 pest listed are exotic.</w:t>
      </w:r>
    </w:p>
    <w:p w:rsidR="00657A0F" w:rsidRPr="00657A0F" w:rsidRDefault="00657A0F" w:rsidP="00657A0F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A0F" w:rsidRDefault="000F5FF8" w:rsidP="00657A0F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4</w:t>
      </w:r>
      <w:r w:rsidR="00657A0F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657A0F" w:rsidRPr="00657A0F">
        <w:rPr>
          <w:rFonts w:ascii="Times New Roman" w:hAnsi="Times New Roman" w:cs="Times New Roman"/>
          <w:b/>
          <w:iCs/>
          <w:sz w:val="24"/>
          <w:szCs w:val="24"/>
        </w:rPr>
        <w:t>Previously listed in the EWB/BB National Survey</w:t>
      </w:r>
    </w:p>
    <w:p w:rsidR="003E1415" w:rsidRPr="003E1415" w:rsidRDefault="003E1415" w:rsidP="00657A0F">
      <w:pPr>
        <w:rPr>
          <w:rFonts w:ascii="Times New Roman" w:hAnsi="Times New Roman" w:cs="Times New Roman"/>
          <w:iCs/>
          <w:sz w:val="24"/>
          <w:szCs w:val="24"/>
        </w:rPr>
      </w:pPr>
      <w:r w:rsidRPr="003E1415">
        <w:rPr>
          <w:rFonts w:ascii="Times New Roman" w:hAnsi="Times New Roman" w:cs="Times New Roman"/>
          <w:iCs/>
          <w:sz w:val="24"/>
          <w:szCs w:val="24"/>
        </w:rPr>
        <w:t>P</w:t>
      </w:r>
      <w:r>
        <w:rPr>
          <w:rFonts w:ascii="Times New Roman" w:hAnsi="Times New Roman" w:cs="Times New Roman"/>
          <w:iCs/>
          <w:sz w:val="24"/>
          <w:szCs w:val="24"/>
        </w:rPr>
        <w:t>ests are p</w:t>
      </w:r>
      <w:r w:rsidRPr="003E1415">
        <w:rPr>
          <w:rFonts w:ascii="Times New Roman" w:hAnsi="Times New Roman" w:cs="Times New Roman"/>
          <w:iCs/>
          <w:sz w:val="24"/>
          <w:szCs w:val="24"/>
        </w:rPr>
        <w:t>resent in 3+ states.</w:t>
      </w:r>
    </w:p>
    <w:p w:rsidR="00657A0F" w:rsidRDefault="00657A0F" w:rsidP="00657A0F">
      <w:pPr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0184" w:type="dxa"/>
        <w:tblInd w:w="108" w:type="dxa"/>
        <w:tblLook w:val="04A0" w:firstRow="1" w:lastRow="0" w:firstColumn="1" w:lastColumn="0" w:noHBand="0" w:noVBand="1"/>
      </w:tblPr>
      <w:tblGrid>
        <w:gridCol w:w="3304"/>
        <w:gridCol w:w="3540"/>
        <w:gridCol w:w="3340"/>
      </w:tblGrid>
      <w:tr w:rsidR="000F5FF8" w:rsidRPr="000F5FF8" w:rsidTr="007B59DD">
        <w:trPr>
          <w:trHeight w:val="63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Scientific Name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Common Name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8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Distribution in the U.S.</w:t>
            </w:r>
          </w:p>
        </w:tc>
      </w:tr>
      <w:tr w:rsidR="000F5FF8" w:rsidRPr="000F5FF8" w:rsidTr="007B59DD">
        <w:trPr>
          <w:trHeight w:val="120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0F5FF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Callidiellum</w:t>
            </w:r>
            <w:proofErr w:type="spellEnd"/>
            <w:r w:rsidRPr="000F5FF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5FF8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rufipenne</w:t>
            </w:r>
            <w:proofErr w:type="spellEnd"/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Japanese cedar </w:t>
            </w:r>
            <w:proofErr w:type="spellStart"/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>longhorned</w:t>
            </w:r>
            <w:proofErr w:type="spellEnd"/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beetle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</w:rPr>
            </w:pPr>
            <w:r w:rsidRPr="000F5FF8">
              <w:rPr>
                <w:rFonts w:eastAsia="Times New Roman" w:cs="Times New Roman"/>
                <w:color w:val="000000"/>
              </w:rPr>
              <w:t>Non-reportable.  NAPIS data: positive data from 5 states, not sure when it was made non-reportable.</w:t>
            </w:r>
          </w:p>
        </w:tc>
      </w:tr>
      <w:tr w:rsidR="000F5FF8" w:rsidRPr="000F5FF8" w:rsidTr="007B59DD">
        <w:trPr>
          <w:trHeight w:val="485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5310B4" w:rsidRDefault="000F5FF8" w:rsidP="000F5FF8">
            <w:pPr>
              <w:rPr>
                <w:rFonts w:eastAsia="Times New Roman" w:cs="Times New Roman"/>
                <w:i/>
                <w:iCs/>
              </w:rPr>
            </w:pPr>
            <w:proofErr w:type="spellStart"/>
            <w:r w:rsidRPr="005310B4">
              <w:rPr>
                <w:rFonts w:eastAsia="Times New Roman" w:cs="Times New Roman"/>
                <w:i/>
                <w:iCs/>
              </w:rPr>
              <w:t>Hylurgops</w:t>
            </w:r>
            <w:proofErr w:type="spellEnd"/>
            <w:r w:rsidRPr="005310B4">
              <w:rPr>
                <w:rFonts w:eastAsia="Times New Roman" w:cs="Times New Roman"/>
                <w:i/>
                <w:iCs/>
              </w:rPr>
              <w:t xml:space="preserve"> palliatus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>Lesser spruce shoot beetle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</w:rPr>
            </w:pPr>
            <w:r w:rsidRPr="000F5FF8">
              <w:rPr>
                <w:rFonts w:eastAsia="Times New Roman" w:cs="Times New Roman"/>
                <w:color w:val="000000"/>
              </w:rPr>
              <w:t xml:space="preserve">It is present in four states. </w:t>
            </w:r>
          </w:p>
        </w:tc>
      </w:tr>
      <w:tr w:rsidR="000F5FF8" w:rsidRPr="000F5FF8" w:rsidTr="007B59DD">
        <w:trPr>
          <w:trHeight w:val="62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5310B4" w:rsidRDefault="000F5FF8" w:rsidP="000F5FF8">
            <w:pPr>
              <w:rPr>
                <w:rFonts w:eastAsia="Times New Roman" w:cs="Times New Roman"/>
                <w:i/>
                <w:iCs/>
              </w:rPr>
            </w:pPr>
            <w:r w:rsidRPr="005310B4">
              <w:rPr>
                <w:rFonts w:eastAsia="Times New Roman" w:cs="Times New Roman"/>
                <w:i/>
                <w:iCs/>
              </w:rPr>
              <w:t xml:space="preserve">Pityophthorus </w:t>
            </w:r>
            <w:proofErr w:type="spellStart"/>
            <w:r w:rsidRPr="005310B4">
              <w:rPr>
                <w:rFonts w:eastAsia="Times New Roman" w:cs="Times New Roman"/>
                <w:i/>
                <w:iCs/>
              </w:rPr>
              <w:t>juglandis</w:t>
            </w:r>
            <w:proofErr w:type="spellEnd"/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>Walnut twig beetle</w:t>
            </w:r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</w:rPr>
            </w:pPr>
            <w:r w:rsidRPr="000F5FF8">
              <w:rPr>
                <w:rFonts w:eastAsia="Times New Roman" w:cs="Times New Roman"/>
                <w:color w:val="000000"/>
              </w:rPr>
              <w:t>AZ, CA, CO, ID, NM, NV, OR, PA, TN, VA, WA</w:t>
            </w:r>
          </w:p>
        </w:tc>
      </w:tr>
      <w:tr w:rsidR="000F5FF8" w:rsidRPr="000F5FF8" w:rsidTr="007B59DD">
        <w:trPr>
          <w:trHeight w:val="620"/>
        </w:trPr>
        <w:tc>
          <w:tcPr>
            <w:tcW w:w="3304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5310B4" w:rsidRDefault="000F5FF8" w:rsidP="000F5FF8">
            <w:pPr>
              <w:rPr>
                <w:rFonts w:eastAsia="Times New Roman" w:cs="Times New Roman"/>
                <w:i/>
                <w:iCs/>
              </w:rPr>
            </w:pPr>
            <w:r w:rsidRPr="005310B4">
              <w:rPr>
                <w:rFonts w:eastAsia="Times New Roman" w:cs="Times New Roman"/>
                <w:i/>
                <w:iCs/>
              </w:rPr>
              <w:t>Sirex noctilio</w:t>
            </w:r>
          </w:p>
        </w:tc>
        <w:tc>
          <w:tcPr>
            <w:tcW w:w="35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Sirex </w:t>
            </w:r>
            <w:proofErr w:type="spellStart"/>
            <w:r w:rsidRPr="000F5FF8">
              <w:rPr>
                <w:rFonts w:eastAsia="Times New Roman" w:cs="Times New Roman"/>
                <w:color w:val="000000"/>
                <w:sz w:val="24"/>
                <w:szCs w:val="24"/>
              </w:rPr>
              <w:t>woodwasp</w:t>
            </w:r>
            <w:proofErr w:type="spellEnd"/>
          </w:p>
        </w:tc>
        <w:tc>
          <w:tcPr>
            <w:tcW w:w="3340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auto" w:fill="auto"/>
            <w:hideMark/>
          </w:tcPr>
          <w:p w:rsidR="000F5FF8" w:rsidRPr="000F5FF8" w:rsidRDefault="000F5FF8" w:rsidP="000F5FF8">
            <w:pPr>
              <w:rPr>
                <w:rFonts w:eastAsia="Times New Roman" w:cs="Times New Roman"/>
                <w:color w:val="000000"/>
              </w:rPr>
            </w:pPr>
            <w:r w:rsidRPr="000F5FF8">
              <w:rPr>
                <w:rFonts w:eastAsia="Times New Roman" w:cs="Times New Roman"/>
                <w:color w:val="000000"/>
              </w:rPr>
              <w:t>No longer a PPQ program.  It is present in three states.</w:t>
            </w:r>
          </w:p>
        </w:tc>
      </w:tr>
    </w:tbl>
    <w:p w:rsidR="000F5FF8" w:rsidRPr="00657A0F" w:rsidRDefault="000F5FF8" w:rsidP="00657A0F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0F5FF8" w:rsidRDefault="000F5FF8" w:rsidP="00C76E63">
      <w:pPr>
        <w:rPr>
          <w:rFonts w:ascii="Times New Roman" w:hAnsi="Times New Roman" w:cs="Times New Roman"/>
          <w:b/>
          <w:sz w:val="24"/>
          <w:szCs w:val="24"/>
        </w:rPr>
      </w:pPr>
    </w:p>
    <w:p w:rsidR="00657A0F" w:rsidRDefault="000F5FF8" w:rsidP="00C76E6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F5FF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F5FF8">
        <w:rPr>
          <w:rFonts w:ascii="Times New Roman" w:hAnsi="Times New Roman" w:cs="Times New Roman"/>
          <w:b/>
          <w:color w:val="000000"/>
          <w:sz w:val="24"/>
          <w:szCs w:val="24"/>
        </w:rPr>
        <w:t>Greater Caribbean Safeguarding List</w:t>
      </w:r>
    </w:p>
    <w:p w:rsidR="000F5FF8" w:rsidRPr="000F5FF8" w:rsidRDefault="008E1933" w:rsidP="00C76E6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Five e</w:t>
      </w:r>
      <w:r w:rsidR="000F5FF8" w:rsidRPr="000F5FF8">
        <w:rPr>
          <w:rFonts w:ascii="Times New Roman" w:hAnsi="Times New Roman" w:cs="Times New Roman"/>
          <w:color w:val="000000"/>
          <w:sz w:val="24"/>
          <w:szCs w:val="24"/>
        </w:rPr>
        <w:t>xotic pests that were added for tropical states/ territories to add to surveys.</w:t>
      </w:r>
      <w:proofErr w:type="gramEnd"/>
    </w:p>
    <w:p w:rsidR="00AD08CF" w:rsidRDefault="00AD08CF" w:rsidP="00C76E63">
      <w:pPr>
        <w:rPr>
          <w:rFonts w:ascii="Times New Roman" w:hAnsi="Times New Roman" w:cs="Times New Roman"/>
          <w:b/>
          <w:sz w:val="26"/>
          <w:szCs w:val="26"/>
        </w:rPr>
      </w:pPr>
    </w:p>
    <w:p w:rsidR="00AB28E9" w:rsidRDefault="000F5FF8" w:rsidP="00C76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F5FF8">
        <w:rPr>
          <w:rFonts w:ascii="Times New Roman" w:hAnsi="Times New Roman" w:cs="Times New Roman"/>
          <w:b/>
          <w:sz w:val="24"/>
          <w:szCs w:val="24"/>
        </w:rPr>
        <w:t>Lower ranking pests from the 2012 AHP List</w:t>
      </w:r>
    </w:p>
    <w:p w:rsidR="000F5FF8" w:rsidRPr="000F5FF8" w:rsidRDefault="000F5FF8" w:rsidP="000F5F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5FF8">
        <w:rPr>
          <w:rFonts w:ascii="Times New Roman" w:hAnsi="Times New Roman" w:cs="Times New Roman"/>
          <w:sz w:val="24"/>
          <w:szCs w:val="24"/>
        </w:rPr>
        <w:t>Pests that ranked below the cutoff on the 2012 AHP List.</w:t>
      </w:r>
    </w:p>
    <w:p w:rsidR="000F5FF8" w:rsidRDefault="000F5FF8" w:rsidP="000F5FF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5FF8">
        <w:rPr>
          <w:rFonts w:ascii="Times New Roman" w:hAnsi="Times New Roman" w:cs="Times New Roman"/>
          <w:sz w:val="24"/>
          <w:szCs w:val="24"/>
        </w:rPr>
        <w:t>12 out of 13 pests are still exotic.</w:t>
      </w:r>
    </w:p>
    <w:p w:rsidR="00C85E15" w:rsidRDefault="00C85E15" w:rsidP="00C85E15">
      <w:pPr>
        <w:rPr>
          <w:rFonts w:ascii="Times New Roman" w:hAnsi="Times New Roman" w:cs="Times New Roman"/>
          <w:sz w:val="24"/>
          <w:szCs w:val="24"/>
        </w:rPr>
      </w:pPr>
    </w:p>
    <w:p w:rsidR="00C85E15" w:rsidRPr="00C85E15" w:rsidRDefault="00C85E15" w:rsidP="00C85E15">
      <w:pPr>
        <w:rPr>
          <w:rFonts w:ascii="Times New Roman" w:hAnsi="Times New Roman" w:cs="Times New Roman"/>
          <w:b/>
          <w:sz w:val="26"/>
          <w:szCs w:val="26"/>
        </w:rPr>
      </w:pPr>
    </w:p>
    <w:p w:rsidR="00C85E15" w:rsidRPr="00C85E15" w:rsidRDefault="00C85E15" w:rsidP="00C85E15">
      <w:pPr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F1A13">
        <w:rPr>
          <w:rFonts w:ascii="Times New Roman" w:hAnsi="Times New Roman" w:cs="Times New Roman"/>
          <w:b/>
          <w:color w:val="0070C0"/>
          <w:sz w:val="26"/>
          <w:szCs w:val="26"/>
        </w:rPr>
        <w:t>Miscellaneous categories that should be deleted.</w:t>
      </w:r>
      <w:proofErr w:type="gramEnd"/>
    </w:p>
    <w:p w:rsidR="00C85E15" w:rsidRDefault="00C85E15" w:rsidP="00C85E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5E15" w:rsidRDefault="00C85E15" w:rsidP="00C85E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CA5FD7">
        <w:rPr>
          <w:rFonts w:ascii="Times New Roman" w:hAnsi="Times New Roman" w:cs="Times New Roman"/>
          <w:b/>
          <w:color w:val="000000"/>
          <w:sz w:val="24"/>
          <w:szCs w:val="24"/>
        </w:rPr>
        <w:t>OPIS reported pest</w:t>
      </w:r>
    </w:p>
    <w:p w:rsidR="00C85E15" w:rsidRPr="002B1E24" w:rsidRDefault="00C85E15" w:rsidP="00C85E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1E24">
        <w:rPr>
          <w:rFonts w:ascii="Times New Roman" w:hAnsi="Times New Roman" w:cs="Times New Roman"/>
          <w:sz w:val="24"/>
          <w:szCs w:val="24"/>
        </w:rPr>
        <w:t>Pest can be added to queue for 2016 AHP List.</w:t>
      </w:r>
    </w:p>
    <w:p w:rsidR="00C85E15" w:rsidRPr="000F5FF8" w:rsidRDefault="00C85E15" w:rsidP="00C85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697"/>
        <w:gridCol w:w="2965"/>
        <w:gridCol w:w="2821"/>
      </w:tblGrid>
      <w:tr w:rsidR="00FF1A13" w:rsidRPr="00CA5FD7" w:rsidTr="00FF1A13">
        <w:trPr>
          <w:trHeight w:val="630"/>
        </w:trPr>
        <w:tc>
          <w:tcPr>
            <w:tcW w:w="3697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F1A13" w:rsidRPr="00CA5FD7" w:rsidRDefault="00FF1A13" w:rsidP="003C08B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Cydalima</w:t>
            </w:r>
            <w:proofErr w:type="spellEnd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perspectalis</w:t>
            </w:r>
            <w:proofErr w:type="spellEnd"/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>Syn</w:t>
            </w:r>
            <w:proofErr w:type="spellEnd"/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Diaphania</w:t>
            </w:r>
            <w:proofErr w:type="spellEnd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A5FD7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perspectalis</w:t>
            </w:r>
            <w:proofErr w:type="spellEnd"/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65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  <w:hideMark/>
          </w:tcPr>
          <w:p w:rsidR="00FF1A13" w:rsidRPr="00CA5FD7" w:rsidRDefault="00FF1A13" w:rsidP="003C08B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Box tree </w:t>
            </w:r>
            <w:proofErr w:type="spellStart"/>
            <w:r w:rsidRPr="00CA5FD7">
              <w:rPr>
                <w:rFonts w:eastAsia="Times New Roman" w:cs="Times New Roman"/>
                <w:color w:val="000000"/>
                <w:sz w:val="24"/>
                <w:szCs w:val="24"/>
              </w:rPr>
              <w:t>pyralid</w:t>
            </w:r>
            <w:proofErr w:type="spellEnd"/>
          </w:p>
        </w:tc>
        <w:tc>
          <w:tcPr>
            <w:tcW w:w="2821" w:type="dxa"/>
            <w:tcBorders>
              <w:top w:val="single" w:sz="4" w:space="0" w:color="8064A2"/>
              <w:left w:val="single" w:sz="4" w:space="0" w:color="8064A2"/>
              <w:bottom w:val="single" w:sz="4" w:space="0" w:color="8064A2"/>
              <w:right w:val="single" w:sz="4" w:space="0" w:color="8064A2"/>
            </w:tcBorders>
            <w:shd w:val="clear" w:color="E4DFEC" w:fill="E4DFEC"/>
          </w:tcPr>
          <w:p w:rsidR="00FF1A13" w:rsidRPr="00CA5FD7" w:rsidRDefault="00FF1A13" w:rsidP="003C08B3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Exotic</w:t>
            </w:r>
          </w:p>
        </w:tc>
      </w:tr>
    </w:tbl>
    <w:p w:rsidR="00C85E15" w:rsidRDefault="00C85E15" w:rsidP="00C85E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5E15" w:rsidRPr="00657A0F" w:rsidRDefault="00B801B5" w:rsidP="00C85E15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85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85E15" w:rsidRPr="00657A0F">
        <w:rPr>
          <w:rFonts w:ascii="Times New Roman" w:hAnsi="Times New Roman" w:cs="Times New Roman"/>
          <w:b/>
          <w:color w:val="000000"/>
          <w:sz w:val="24"/>
          <w:szCs w:val="24"/>
        </w:rPr>
        <w:t>Previously listed in the Asian Defoliator Survey</w:t>
      </w:r>
    </w:p>
    <w:p w:rsidR="00C85E15" w:rsidRPr="00657A0F" w:rsidRDefault="00C85E15" w:rsidP="00C85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57A0F">
        <w:rPr>
          <w:rFonts w:ascii="Times New Roman" w:hAnsi="Times New Roman" w:cs="Times New Roman"/>
          <w:i/>
          <w:sz w:val="24"/>
          <w:szCs w:val="24"/>
        </w:rPr>
        <w:t>Yponomeuta</w:t>
      </w:r>
      <w:proofErr w:type="spellEnd"/>
      <w:r w:rsidRPr="00657A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57A0F">
        <w:rPr>
          <w:rFonts w:ascii="Times New Roman" w:hAnsi="Times New Roman" w:cs="Times New Roman"/>
          <w:i/>
          <w:sz w:val="24"/>
          <w:szCs w:val="24"/>
        </w:rPr>
        <w:t>malinellus</w:t>
      </w:r>
      <w:proofErr w:type="spellEnd"/>
      <w:r w:rsidRPr="00657A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7A0F">
        <w:rPr>
          <w:rFonts w:ascii="Times New Roman" w:hAnsi="Times New Roman" w:cs="Times New Roman"/>
          <w:sz w:val="24"/>
          <w:szCs w:val="24"/>
        </w:rPr>
        <w:t>(Apple ermine moth)</w:t>
      </w:r>
      <w:r w:rsidRPr="00657A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E15" w:rsidRDefault="00C85E15" w:rsidP="00C85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57A0F">
        <w:rPr>
          <w:rFonts w:ascii="Times New Roman" w:hAnsi="Times New Roman" w:cs="Times New Roman"/>
          <w:sz w:val="24"/>
          <w:szCs w:val="24"/>
        </w:rPr>
        <w:t>De-regulated and made non-reportable in 2012.</w:t>
      </w:r>
    </w:p>
    <w:p w:rsidR="00C85E15" w:rsidRDefault="00C85E15" w:rsidP="00C85E1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5E15" w:rsidRDefault="00B801B5" w:rsidP="00C85E1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C85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85E15" w:rsidRPr="00C85E15">
        <w:rPr>
          <w:rFonts w:ascii="Times New Roman" w:hAnsi="Times New Roman" w:cs="Times New Roman"/>
          <w:b/>
          <w:color w:val="000000"/>
          <w:sz w:val="24"/>
          <w:szCs w:val="24"/>
        </w:rPr>
        <w:t>Previously listed on the 2012 AHP List</w:t>
      </w:r>
    </w:p>
    <w:p w:rsidR="00C85E15" w:rsidRPr="00FF1A13" w:rsidRDefault="00C85E15" w:rsidP="00FF1A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FF1A13">
        <w:rPr>
          <w:rFonts w:ascii="Times New Roman" w:hAnsi="Times New Roman" w:cs="Times New Roman"/>
          <w:i/>
          <w:iCs/>
          <w:sz w:val="24"/>
          <w:szCs w:val="24"/>
        </w:rPr>
        <w:t>Planococcus</w:t>
      </w:r>
      <w:proofErr w:type="spellEnd"/>
      <w:r w:rsidRPr="00FF1A13">
        <w:rPr>
          <w:rFonts w:ascii="Times New Roman" w:hAnsi="Times New Roman" w:cs="Times New Roman"/>
          <w:i/>
          <w:iCs/>
          <w:sz w:val="24"/>
          <w:szCs w:val="24"/>
        </w:rPr>
        <w:t xml:space="preserve"> minor </w:t>
      </w:r>
      <w:r w:rsidRPr="00FF1A13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FF1A13">
        <w:rPr>
          <w:rFonts w:ascii="Times New Roman" w:hAnsi="Times New Roman" w:cs="Times New Roman"/>
          <w:iCs/>
          <w:sz w:val="24"/>
          <w:szCs w:val="24"/>
        </w:rPr>
        <w:t>Passionvine</w:t>
      </w:r>
      <w:proofErr w:type="spellEnd"/>
      <w:r w:rsidRPr="00FF1A1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F1A13">
        <w:rPr>
          <w:rFonts w:ascii="Times New Roman" w:hAnsi="Times New Roman" w:cs="Times New Roman"/>
          <w:iCs/>
          <w:sz w:val="24"/>
          <w:szCs w:val="24"/>
        </w:rPr>
        <w:t>mealybug</w:t>
      </w:r>
      <w:proofErr w:type="spellEnd"/>
      <w:r w:rsidRPr="00FF1A13">
        <w:rPr>
          <w:rFonts w:ascii="Times New Roman" w:hAnsi="Times New Roman" w:cs="Times New Roman"/>
          <w:iCs/>
          <w:sz w:val="24"/>
          <w:szCs w:val="24"/>
        </w:rPr>
        <w:t>)</w:t>
      </w:r>
    </w:p>
    <w:p w:rsidR="00C85E15" w:rsidRPr="00FF1A13" w:rsidRDefault="00C85E15" w:rsidP="00FF1A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F1A13">
        <w:rPr>
          <w:rFonts w:ascii="Times New Roman" w:hAnsi="Times New Roman" w:cs="Times New Roman"/>
          <w:sz w:val="24"/>
          <w:szCs w:val="24"/>
        </w:rPr>
        <w:t xml:space="preserve">De-regulated and made non-reportable in 2012.  </w:t>
      </w:r>
    </w:p>
    <w:p w:rsidR="00C85E15" w:rsidRPr="00C85E15" w:rsidRDefault="00C85E15" w:rsidP="00C85E15">
      <w:pPr>
        <w:rPr>
          <w:rFonts w:ascii="Times New Roman" w:hAnsi="Times New Roman" w:cs="Times New Roman"/>
          <w:sz w:val="24"/>
          <w:szCs w:val="24"/>
        </w:rPr>
      </w:pPr>
    </w:p>
    <w:p w:rsidR="000F5FF8" w:rsidRDefault="00B801B5" w:rsidP="000F5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F5FF8" w:rsidRPr="000F5FF8">
        <w:rPr>
          <w:rFonts w:ascii="Times New Roman" w:hAnsi="Times New Roman" w:cs="Times New Roman"/>
          <w:b/>
          <w:sz w:val="24"/>
          <w:szCs w:val="24"/>
        </w:rPr>
        <w:t>. Asian Defoliators</w:t>
      </w:r>
    </w:p>
    <w:p w:rsidR="000F5FF8" w:rsidRPr="000F5FF8" w:rsidRDefault="000F5FF8" w:rsidP="000F5F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F5FF8">
        <w:rPr>
          <w:rFonts w:ascii="Times New Roman" w:hAnsi="Times New Roman" w:cs="Times New Roman"/>
          <w:sz w:val="24"/>
          <w:szCs w:val="24"/>
        </w:rPr>
        <w:t>This was just a place holder until the Asian Defoliator manual was developed.</w:t>
      </w:r>
    </w:p>
    <w:p w:rsidR="000F5FF8" w:rsidRPr="000F5FF8" w:rsidRDefault="000F5FF8" w:rsidP="00C76E63">
      <w:pPr>
        <w:rPr>
          <w:rFonts w:ascii="Times New Roman" w:hAnsi="Times New Roman" w:cs="Times New Roman"/>
          <w:b/>
          <w:sz w:val="24"/>
          <w:szCs w:val="24"/>
        </w:rPr>
      </w:pPr>
    </w:p>
    <w:sectPr w:rsidR="000F5FF8" w:rsidRPr="000F5FF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99" w:rsidRDefault="00804E99" w:rsidP="00804E99">
      <w:r>
        <w:separator/>
      </w:r>
    </w:p>
  </w:endnote>
  <w:endnote w:type="continuationSeparator" w:id="0">
    <w:p w:rsidR="00804E99" w:rsidRDefault="00804E99" w:rsidP="0080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99" w:rsidRDefault="00804E99" w:rsidP="00804E99">
      <w:r>
        <w:separator/>
      </w:r>
    </w:p>
  </w:footnote>
  <w:footnote w:type="continuationSeparator" w:id="0">
    <w:p w:rsidR="00804E99" w:rsidRDefault="00804E99" w:rsidP="00804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0644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04E99" w:rsidRDefault="00804E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4E99" w:rsidRDefault="00804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59C7"/>
    <w:multiLevelType w:val="hybridMultilevel"/>
    <w:tmpl w:val="DF72B422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2AA2"/>
    <w:multiLevelType w:val="hybridMultilevel"/>
    <w:tmpl w:val="8938D394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C30E3"/>
    <w:multiLevelType w:val="hybridMultilevel"/>
    <w:tmpl w:val="55540C1E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77EB4"/>
    <w:multiLevelType w:val="hybridMultilevel"/>
    <w:tmpl w:val="478894A2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392A49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41C3D"/>
    <w:multiLevelType w:val="hybridMultilevel"/>
    <w:tmpl w:val="00C4A1CC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C7160"/>
    <w:multiLevelType w:val="hybridMultilevel"/>
    <w:tmpl w:val="8FE254D6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B602B"/>
    <w:multiLevelType w:val="hybridMultilevel"/>
    <w:tmpl w:val="2272CECE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E0165"/>
    <w:multiLevelType w:val="hybridMultilevel"/>
    <w:tmpl w:val="59464948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831B3"/>
    <w:multiLevelType w:val="hybridMultilevel"/>
    <w:tmpl w:val="C284CE12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63"/>
    <w:rsid w:val="00035CDA"/>
    <w:rsid w:val="00093937"/>
    <w:rsid w:val="000C471D"/>
    <w:rsid w:val="000F5FF8"/>
    <w:rsid w:val="00103390"/>
    <w:rsid w:val="00123D04"/>
    <w:rsid w:val="00141A50"/>
    <w:rsid w:val="0017395D"/>
    <w:rsid w:val="001D5F6A"/>
    <w:rsid w:val="00260A64"/>
    <w:rsid w:val="002B1E24"/>
    <w:rsid w:val="002C34A5"/>
    <w:rsid w:val="003835D8"/>
    <w:rsid w:val="003A417C"/>
    <w:rsid w:val="003E1415"/>
    <w:rsid w:val="004065F7"/>
    <w:rsid w:val="004700EF"/>
    <w:rsid w:val="005310B4"/>
    <w:rsid w:val="00544681"/>
    <w:rsid w:val="00551349"/>
    <w:rsid w:val="00631454"/>
    <w:rsid w:val="00643F01"/>
    <w:rsid w:val="00657A0F"/>
    <w:rsid w:val="006A20F0"/>
    <w:rsid w:val="006C46A9"/>
    <w:rsid w:val="006E72F2"/>
    <w:rsid w:val="006F645B"/>
    <w:rsid w:val="007B59DD"/>
    <w:rsid w:val="00804E99"/>
    <w:rsid w:val="008054D5"/>
    <w:rsid w:val="008301FA"/>
    <w:rsid w:val="00881C2A"/>
    <w:rsid w:val="008E1933"/>
    <w:rsid w:val="00927F87"/>
    <w:rsid w:val="00937518"/>
    <w:rsid w:val="00A25447"/>
    <w:rsid w:val="00A3397B"/>
    <w:rsid w:val="00AB01F7"/>
    <w:rsid w:val="00AB28E9"/>
    <w:rsid w:val="00AD08CF"/>
    <w:rsid w:val="00AD55BD"/>
    <w:rsid w:val="00B12784"/>
    <w:rsid w:val="00B14317"/>
    <w:rsid w:val="00B801B5"/>
    <w:rsid w:val="00BE6968"/>
    <w:rsid w:val="00C06560"/>
    <w:rsid w:val="00C76E63"/>
    <w:rsid w:val="00C85E15"/>
    <w:rsid w:val="00CA5FD7"/>
    <w:rsid w:val="00D42ECD"/>
    <w:rsid w:val="00EE7F05"/>
    <w:rsid w:val="00F44827"/>
    <w:rsid w:val="00F53545"/>
    <w:rsid w:val="00F64BD8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48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B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4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E99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48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7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5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5B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5BD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04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E9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.ceris.purdue.edu/services/approvedmethods/sheet.php?v=123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est.ceris.purdue.edu/services/approvedmethods/sheet.php?v=1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st.ceris.purdue.edu/services/approvedmethods/sheet.php?v=1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Jackson</dc:creator>
  <cp:lastModifiedBy>Lisa Jackson</cp:lastModifiedBy>
  <cp:revision>9</cp:revision>
  <cp:lastPrinted>2012-11-28T14:48:00Z</cp:lastPrinted>
  <dcterms:created xsi:type="dcterms:W3CDTF">2013-01-30T18:09:00Z</dcterms:created>
  <dcterms:modified xsi:type="dcterms:W3CDTF">2013-01-30T18:17:00Z</dcterms:modified>
</cp:coreProperties>
</file>