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7D0" w:rsidRDefault="00C177D0">
      <w:pPr>
        <w:rPr>
          <w:b/>
          <w:smallCaps/>
        </w:rPr>
      </w:pPr>
      <w:r w:rsidRPr="00063406">
        <w:rPr>
          <w:b/>
          <w:smallCaps/>
        </w:rPr>
        <w:t>Preliminary Comparisons of CAPS and Farm Bill funding for Exotic Wood Borer / Bark Beetle Surveys</w:t>
      </w:r>
    </w:p>
    <w:p w:rsidR="00C82BD9" w:rsidRPr="00063406" w:rsidRDefault="00C82BD9">
      <w:pPr>
        <w:rPr>
          <w:b/>
          <w:smallCaps/>
        </w:rPr>
      </w:pPr>
      <w:r>
        <w:rPr>
          <w:b/>
          <w:smallCaps/>
        </w:rPr>
        <w:t>Piera Siegert</w:t>
      </w:r>
    </w:p>
    <w:p w:rsidR="00FC2453" w:rsidRPr="00FC2453" w:rsidRDefault="00FC2453">
      <w:pPr>
        <w:rPr>
          <w:b/>
        </w:rPr>
      </w:pPr>
      <w:r w:rsidRPr="00FC2453">
        <w:rPr>
          <w:b/>
        </w:rPr>
        <w:t>Introduction:</w:t>
      </w:r>
    </w:p>
    <w:p w:rsidR="00063406" w:rsidRDefault="00C177D0">
      <w:r>
        <w:t xml:space="preserve">When looking at funding levels for CAPS and Farm Bill funded Exotic Wood Borer / Bark Beetle (EWBB) surveys, there appears to be a 3-fold increase in funding for states funded through the Farm Bill. </w:t>
      </w:r>
      <w:r w:rsidR="006671CB">
        <w:t>The goal of the limited analysis is to explore the differences in the numbers of targets, sites, visits, etc., to better understand</w:t>
      </w:r>
      <w:r w:rsidR="00FC2453">
        <w:t xml:space="preserve"> whether or not the differences in funding levels per survey are reflective of a difference in effort</w:t>
      </w:r>
      <w:r w:rsidR="00063406">
        <w:t xml:space="preserve">, are a better reflection of the true cost of conducting the survey, are caused by another reason, or are an artificial comparison. Are states applying for EWBB survey funding through the Farm Bill receiving funds that better represent the costs of running the survey? </w:t>
      </w:r>
    </w:p>
    <w:p w:rsidR="00FC2453" w:rsidRDefault="00FC2453">
      <w:pPr>
        <w:rPr>
          <w:b/>
        </w:rPr>
      </w:pPr>
      <w:r>
        <w:rPr>
          <w:b/>
        </w:rPr>
        <w:t>Goal:</w:t>
      </w:r>
    </w:p>
    <w:p w:rsidR="00FC2453" w:rsidRDefault="00FC2453">
      <w:r>
        <w:t>Do a preliminary analysis to examine differences in CAPS and Farm Bill EWBB surveys.</w:t>
      </w:r>
    </w:p>
    <w:p w:rsidR="00FC2453" w:rsidRDefault="00FC2453">
      <w:pPr>
        <w:rPr>
          <w:b/>
        </w:rPr>
      </w:pPr>
      <w:r>
        <w:rPr>
          <w:b/>
        </w:rPr>
        <w:t>Methods:</w:t>
      </w:r>
    </w:p>
    <w:p w:rsidR="00FC2453" w:rsidRDefault="00FC2453" w:rsidP="00FC2453">
      <w:pPr>
        <w:pStyle w:val="ListParagraph"/>
        <w:numPr>
          <w:ilvl w:val="0"/>
          <w:numId w:val="1"/>
        </w:numPr>
      </w:pPr>
      <w:r>
        <w:t>In early March, 2016, the spreadsheet of all planned surveys was downloaded from the CAPS/PPQ/Farm Bill Survey Summaries.</w:t>
      </w:r>
    </w:p>
    <w:p w:rsidR="00FC2453" w:rsidRDefault="00FC2453" w:rsidP="00FC2453">
      <w:pPr>
        <w:pStyle w:val="ListParagraph"/>
        <w:numPr>
          <w:ilvl w:val="0"/>
          <w:numId w:val="1"/>
        </w:numPr>
      </w:pPr>
      <w:r>
        <w:t>PPQ surveys were removed.</w:t>
      </w:r>
    </w:p>
    <w:p w:rsidR="00FC2453" w:rsidRDefault="00FC2453" w:rsidP="00FC2453">
      <w:pPr>
        <w:pStyle w:val="ListParagraph"/>
        <w:numPr>
          <w:ilvl w:val="0"/>
          <w:numId w:val="1"/>
        </w:numPr>
      </w:pPr>
      <w:r>
        <w:t>Data for EWBB surveys were selected.</w:t>
      </w:r>
    </w:p>
    <w:p w:rsidR="00FC2453" w:rsidRDefault="00FC2453" w:rsidP="00FC2453">
      <w:pPr>
        <w:pStyle w:val="ListParagraph"/>
        <w:numPr>
          <w:ilvl w:val="0"/>
          <w:numId w:val="1"/>
        </w:numPr>
      </w:pPr>
      <w:r>
        <w:t>Only data from 2014 and 2015 were included in analysis, as 2016 Farm Bill EWBB surveys were not present in the dataset at that time.</w:t>
      </w:r>
    </w:p>
    <w:p w:rsidR="00FC2453" w:rsidRDefault="00FC2453" w:rsidP="00FC2453">
      <w:pPr>
        <w:pStyle w:val="ListParagraph"/>
        <w:numPr>
          <w:ilvl w:val="0"/>
          <w:numId w:val="1"/>
        </w:numPr>
      </w:pPr>
      <w:r>
        <w:t>Data w</w:t>
      </w:r>
      <w:r w:rsidR="00063406">
        <w:t>ere</w:t>
      </w:r>
      <w:r>
        <w:t xml:space="preserve"> first sorted by funding source, state, and year. Within a funding source, state, and year, the total number of targets was determined, as was the mean number of sites / traps (called sites throughout this document), and the mean number of visits. Next, the number of targets * sites * visits </w:t>
      </w:r>
      <w:r w:rsidR="00063406">
        <w:t xml:space="preserve">was determined </w:t>
      </w:r>
      <w:r>
        <w:t xml:space="preserve">for each </w:t>
      </w:r>
      <w:r w:rsidR="00063406">
        <w:t xml:space="preserve">data </w:t>
      </w:r>
      <w:r>
        <w:t xml:space="preserve">line. </w:t>
      </w:r>
      <w:r w:rsidR="0086727F">
        <w:t>The CAPS survey funding data (federal, state share, and total) was included from the planned surveys spreadsheet. For Farm Bill surveys, the awarded funds as described in the FY14 and FY15 spending plans w</w:t>
      </w:r>
      <w:r w:rsidR="00063406">
        <w:t>ere</w:t>
      </w:r>
      <w:r w:rsidR="0086727F">
        <w:t xml:space="preserve"> used. The federal </w:t>
      </w:r>
      <w:r w:rsidR="0039375B">
        <w:t>funding awarded</w:t>
      </w:r>
      <w:r w:rsidR="0086727F">
        <w:t xml:space="preserve"> </w:t>
      </w:r>
      <w:r w:rsidR="00063406">
        <w:t>per</w:t>
      </w:r>
      <w:r w:rsidR="0086727F">
        <w:t xml:space="preserve"> </w:t>
      </w:r>
      <w:r w:rsidR="00063406">
        <w:t>target * site * visit was calculated</w:t>
      </w:r>
      <w:r w:rsidR="0086727F">
        <w:t>.</w:t>
      </w:r>
    </w:p>
    <w:p w:rsidR="0086727F" w:rsidRDefault="0086727F" w:rsidP="00FC2453">
      <w:pPr>
        <w:pStyle w:val="ListParagraph"/>
        <w:numPr>
          <w:ilvl w:val="0"/>
          <w:numId w:val="1"/>
        </w:numPr>
      </w:pPr>
      <w:r>
        <w:t>This resulted in a single line of data that summarized each EWBB survey by state, year, and funding source.</w:t>
      </w:r>
      <w:r w:rsidR="004B5C7E">
        <w:t xml:space="preserve"> All lines of CAPS and Farm Bill data were included in the analysis. States that conducted EWBB surveys in both years, from both funding sources, were represented multiple times in the analysis, but states that only drew from one funding source, or did not participate in both years were represented less. Summary statistics (mean, median, mode, max, min, variance, and standard error) were determined for the number of targets, sites, visits, federal survey dollars, and federal survey dollars per target</w:t>
      </w:r>
      <w:r w:rsidR="00063406">
        <w:t xml:space="preserve"> </w:t>
      </w:r>
      <w:r w:rsidR="004B5C7E">
        <w:t>*</w:t>
      </w:r>
      <w:r w:rsidR="00063406">
        <w:t xml:space="preserve"> </w:t>
      </w:r>
      <w:r w:rsidR="004B5C7E">
        <w:t>site</w:t>
      </w:r>
      <w:r w:rsidR="00063406">
        <w:t xml:space="preserve"> </w:t>
      </w:r>
      <w:r w:rsidR="004B5C7E">
        <w:t>*</w:t>
      </w:r>
      <w:r w:rsidR="00063406">
        <w:t xml:space="preserve"> </w:t>
      </w:r>
      <w:r w:rsidR="004B5C7E">
        <w:t xml:space="preserve">visit. </w:t>
      </w:r>
    </w:p>
    <w:p w:rsidR="004B5C7E" w:rsidRDefault="004B5C7E" w:rsidP="00FC2453">
      <w:pPr>
        <w:pStyle w:val="ListParagraph"/>
        <w:numPr>
          <w:ilvl w:val="0"/>
          <w:numId w:val="1"/>
        </w:numPr>
      </w:pPr>
      <w:r>
        <w:t>Data w</w:t>
      </w:r>
      <w:r w:rsidR="00063406">
        <w:t>ere</w:t>
      </w:r>
      <w:r>
        <w:t xml:space="preserve"> also summarized by target. The percentage of CAPS and Farm Bill surveys including a specific target was determined for each target. A list of targets included in both surveys was developed, as was a list of pests included in CAPS surveys, but not included in Farm Bill surveys.</w:t>
      </w:r>
    </w:p>
    <w:p w:rsidR="004B5C7E" w:rsidRDefault="004B5C7E" w:rsidP="004B5C7E"/>
    <w:p w:rsidR="004B5C7E" w:rsidRDefault="004B5C7E" w:rsidP="004B5C7E">
      <w:pPr>
        <w:rPr>
          <w:b/>
        </w:rPr>
      </w:pPr>
      <w:r>
        <w:rPr>
          <w:b/>
        </w:rPr>
        <w:t>Results &amp; Preliminary Discussion:</w:t>
      </w:r>
    </w:p>
    <w:p w:rsidR="004B5C7E" w:rsidRDefault="004B5C7E" w:rsidP="004B5C7E">
      <w:r>
        <w:t xml:space="preserve">The dataset was weighted towards CAPS EWBB surveys. </w:t>
      </w:r>
      <w:r w:rsidR="00063406">
        <w:t>Across both years</w:t>
      </w:r>
      <w:r>
        <w:t xml:space="preserve">, there were 39 </w:t>
      </w:r>
      <w:r w:rsidR="00C45273">
        <w:t xml:space="preserve">EWBB surveys </w:t>
      </w:r>
      <w:r>
        <w:t xml:space="preserve">funded </w:t>
      </w:r>
      <w:r w:rsidR="00C45273">
        <w:t>through CAPS</w:t>
      </w:r>
      <w:r>
        <w:t xml:space="preserve">, but only 5 funded </w:t>
      </w:r>
      <w:r w:rsidR="00C45273">
        <w:t>through Farm Bill</w:t>
      </w:r>
      <w:r>
        <w:t xml:space="preserve">. One state was awarded FY15 funds through the Farm Bill to conduct an EWBB survey, but the data did not exist in the survey summary spreadsheet for FY15, so </w:t>
      </w:r>
      <w:r w:rsidR="00063406">
        <w:t>that state was excluded from</w:t>
      </w:r>
      <w:r>
        <w:t xml:space="preserve"> the analysis.</w:t>
      </w:r>
      <w:r w:rsidR="00C45273">
        <w:t xml:space="preserve"> Only four states funded their EWBB surveys through the Farm Bill, and of those four, only one</w:t>
      </w:r>
      <w:r w:rsidR="00063406">
        <w:t>, California,</w:t>
      </w:r>
      <w:r w:rsidR="00C45273">
        <w:t xml:space="preserve"> also funded its surveys through CAPS. </w:t>
      </w:r>
      <w:r w:rsidR="00341176">
        <w:t xml:space="preserve">California was the only state to apply for funding through both sources in both years. </w:t>
      </w:r>
      <w:r w:rsidR="00063406">
        <w:t xml:space="preserve">As California was heavily represented in the Farm Bill data, there was the possibility that any summary statistics would be highly influenced by California’s data. As such, the analyses were conducted with California data included, and excluded. </w:t>
      </w:r>
      <w:r w:rsidR="00341176">
        <w:t xml:space="preserve">It should be noted, however, that there is </w:t>
      </w:r>
      <w:r w:rsidR="005F57D9">
        <w:t xml:space="preserve">low </w:t>
      </w:r>
      <w:r w:rsidR="00341176">
        <w:t>replication of states with Farm Bill as a source for EWBB funding</w:t>
      </w:r>
      <w:r w:rsidR="005F57D9">
        <w:t>; as such there is little to no statistical power and</w:t>
      </w:r>
      <w:r w:rsidR="00341176">
        <w:t xml:space="preserve"> only the most general conclusions may be drawn. </w:t>
      </w:r>
      <w:r w:rsidR="005F57D9">
        <w:t>This is</w:t>
      </w:r>
      <w:r w:rsidR="00341176">
        <w:t xml:space="preserve"> why there was no effort to conduct a more sophisticated analysis of data</w:t>
      </w:r>
      <w:r w:rsidR="005F57D9">
        <w:t>.</w:t>
      </w:r>
    </w:p>
    <w:p w:rsidR="00347894" w:rsidRDefault="00347894" w:rsidP="00347894">
      <w:r>
        <w:t>Table 1: Comparisons of survey funding between CAPS and Farm Bill EWBB Surveys</w:t>
      </w:r>
    </w:p>
    <w:tbl>
      <w:tblPr>
        <w:tblStyle w:val="TableGrid"/>
        <w:tblW w:w="0" w:type="auto"/>
        <w:tblLook w:val="04A0" w:firstRow="1" w:lastRow="0" w:firstColumn="1" w:lastColumn="0" w:noHBand="0" w:noVBand="1"/>
      </w:tblPr>
      <w:tblGrid>
        <w:gridCol w:w="1374"/>
        <w:gridCol w:w="1974"/>
        <w:gridCol w:w="2070"/>
        <w:gridCol w:w="1890"/>
        <w:gridCol w:w="2268"/>
      </w:tblGrid>
      <w:tr w:rsidR="00341176" w:rsidTr="00341176">
        <w:tc>
          <w:tcPr>
            <w:tcW w:w="1374" w:type="dxa"/>
            <w:vMerge w:val="restart"/>
            <w:shd w:val="clear" w:color="auto" w:fill="F2F2F2" w:themeFill="background1" w:themeFillShade="F2"/>
            <w:vAlign w:val="center"/>
          </w:tcPr>
          <w:p w:rsidR="00341176" w:rsidRDefault="00341176" w:rsidP="005F57D9">
            <w:pPr>
              <w:jc w:val="center"/>
            </w:pPr>
          </w:p>
        </w:tc>
        <w:tc>
          <w:tcPr>
            <w:tcW w:w="4044" w:type="dxa"/>
            <w:gridSpan w:val="2"/>
            <w:shd w:val="clear" w:color="auto" w:fill="F2F2F2" w:themeFill="background1" w:themeFillShade="F2"/>
            <w:vAlign w:val="center"/>
          </w:tcPr>
          <w:p w:rsidR="00341176" w:rsidRPr="00347894" w:rsidRDefault="00341176" w:rsidP="005F57D9">
            <w:pPr>
              <w:jc w:val="center"/>
              <w:rPr>
                <w:b/>
              </w:rPr>
            </w:pPr>
            <w:r>
              <w:rPr>
                <w:b/>
              </w:rPr>
              <w:t>Total Federal Funding for Survey w/ CA</w:t>
            </w:r>
          </w:p>
        </w:tc>
        <w:tc>
          <w:tcPr>
            <w:tcW w:w="4158" w:type="dxa"/>
            <w:gridSpan w:val="2"/>
            <w:shd w:val="clear" w:color="auto" w:fill="F2F2F2" w:themeFill="background1" w:themeFillShade="F2"/>
          </w:tcPr>
          <w:p w:rsidR="00341176" w:rsidRDefault="00341176" w:rsidP="005F57D9">
            <w:pPr>
              <w:jc w:val="center"/>
              <w:rPr>
                <w:b/>
              </w:rPr>
            </w:pPr>
            <w:r>
              <w:rPr>
                <w:b/>
              </w:rPr>
              <w:t>Total Federal Funding for Survey w/o CA</w:t>
            </w:r>
          </w:p>
        </w:tc>
      </w:tr>
      <w:tr w:rsidR="00341176" w:rsidTr="00341176">
        <w:tc>
          <w:tcPr>
            <w:tcW w:w="1374" w:type="dxa"/>
            <w:vMerge/>
            <w:shd w:val="clear" w:color="auto" w:fill="F2F2F2" w:themeFill="background1" w:themeFillShade="F2"/>
            <w:vAlign w:val="center"/>
          </w:tcPr>
          <w:p w:rsidR="00341176" w:rsidRDefault="00341176" w:rsidP="005F57D9">
            <w:pPr>
              <w:jc w:val="center"/>
            </w:pPr>
          </w:p>
        </w:tc>
        <w:tc>
          <w:tcPr>
            <w:tcW w:w="1974" w:type="dxa"/>
            <w:shd w:val="clear" w:color="auto" w:fill="F2F2F2" w:themeFill="background1" w:themeFillShade="F2"/>
            <w:vAlign w:val="center"/>
          </w:tcPr>
          <w:p w:rsidR="00341176" w:rsidRPr="00347894" w:rsidRDefault="00341176" w:rsidP="005F57D9">
            <w:pPr>
              <w:jc w:val="center"/>
              <w:rPr>
                <w:i/>
              </w:rPr>
            </w:pPr>
            <w:r w:rsidRPr="00347894">
              <w:rPr>
                <w:i/>
              </w:rPr>
              <w:t>CAPS</w:t>
            </w:r>
          </w:p>
        </w:tc>
        <w:tc>
          <w:tcPr>
            <w:tcW w:w="2070" w:type="dxa"/>
            <w:shd w:val="clear" w:color="auto" w:fill="F2F2F2" w:themeFill="background1" w:themeFillShade="F2"/>
            <w:vAlign w:val="center"/>
          </w:tcPr>
          <w:p w:rsidR="00341176" w:rsidRPr="00347894" w:rsidRDefault="00341176" w:rsidP="005F57D9">
            <w:pPr>
              <w:jc w:val="center"/>
              <w:rPr>
                <w:i/>
              </w:rPr>
            </w:pPr>
            <w:r w:rsidRPr="00347894">
              <w:rPr>
                <w:i/>
              </w:rPr>
              <w:t>Farm Bill</w:t>
            </w:r>
          </w:p>
        </w:tc>
        <w:tc>
          <w:tcPr>
            <w:tcW w:w="1890" w:type="dxa"/>
            <w:shd w:val="clear" w:color="auto" w:fill="F2F2F2" w:themeFill="background1" w:themeFillShade="F2"/>
            <w:vAlign w:val="center"/>
          </w:tcPr>
          <w:p w:rsidR="00341176" w:rsidRPr="00347894" w:rsidRDefault="00341176" w:rsidP="005F57D9">
            <w:pPr>
              <w:jc w:val="center"/>
              <w:rPr>
                <w:i/>
              </w:rPr>
            </w:pPr>
            <w:r w:rsidRPr="00347894">
              <w:rPr>
                <w:i/>
              </w:rPr>
              <w:t>CAPS</w:t>
            </w:r>
          </w:p>
        </w:tc>
        <w:tc>
          <w:tcPr>
            <w:tcW w:w="2268" w:type="dxa"/>
            <w:shd w:val="clear" w:color="auto" w:fill="F2F2F2" w:themeFill="background1" w:themeFillShade="F2"/>
            <w:vAlign w:val="center"/>
          </w:tcPr>
          <w:p w:rsidR="00341176" w:rsidRPr="00347894" w:rsidRDefault="00341176" w:rsidP="005F57D9">
            <w:pPr>
              <w:jc w:val="center"/>
              <w:rPr>
                <w:i/>
              </w:rPr>
            </w:pPr>
            <w:r w:rsidRPr="00347894">
              <w:rPr>
                <w:i/>
              </w:rPr>
              <w:t>Farm Bill</w:t>
            </w:r>
          </w:p>
        </w:tc>
      </w:tr>
      <w:tr w:rsidR="00341176" w:rsidTr="00341176">
        <w:tc>
          <w:tcPr>
            <w:tcW w:w="1374" w:type="dxa"/>
            <w:shd w:val="clear" w:color="auto" w:fill="F2F2F2" w:themeFill="background1" w:themeFillShade="F2"/>
            <w:vAlign w:val="center"/>
          </w:tcPr>
          <w:p w:rsidR="00341176" w:rsidRPr="00347894" w:rsidRDefault="00341176" w:rsidP="005F57D9">
            <w:pPr>
              <w:jc w:val="center"/>
              <w:rPr>
                <w:i/>
              </w:rPr>
            </w:pPr>
            <w:r w:rsidRPr="00347894">
              <w:rPr>
                <w:i/>
              </w:rPr>
              <w:t>Min</w:t>
            </w:r>
          </w:p>
        </w:tc>
        <w:tc>
          <w:tcPr>
            <w:tcW w:w="1974" w:type="dxa"/>
            <w:vAlign w:val="center"/>
          </w:tcPr>
          <w:p w:rsidR="00341176" w:rsidRDefault="00341176" w:rsidP="00347894">
            <w:pPr>
              <w:jc w:val="center"/>
            </w:pPr>
            <w:r>
              <w:t>$4,196</w:t>
            </w:r>
          </w:p>
        </w:tc>
        <w:tc>
          <w:tcPr>
            <w:tcW w:w="2070" w:type="dxa"/>
            <w:vAlign w:val="center"/>
          </w:tcPr>
          <w:p w:rsidR="00341176" w:rsidRDefault="00341176" w:rsidP="005F57D9">
            <w:pPr>
              <w:jc w:val="center"/>
            </w:pPr>
            <w:r>
              <w:t>$23,335</w:t>
            </w:r>
          </w:p>
        </w:tc>
        <w:tc>
          <w:tcPr>
            <w:tcW w:w="1890" w:type="dxa"/>
          </w:tcPr>
          <w:p w:rsidR="00341176" w:rsidRDefault="00341176" w:rsidP="005F57D9">
            <w:pPr>
              <w:jc w:val="center"/>
            </w:pPr>
            <w:r>
              <w:t>$4,196</w:t>
            </w:r>
          </w:p>
        </w:tc>
        <w:tc>
          <w:tcPr>
            <w:tcW w:w="2268" w:type="dxa"/>
          </w:tcPr>
          <w:p w:rsidR="00341176" w:rsidRDefault="00341176" w:rsidP="005F57D9">
            <w:pPr>
              <w:jc w:val="center"/>
            </w:pPr>
            <w:r>
              <w:t>$23,335</w:t>
            </w:r>
          </w:p>
        </w:tc>
      </w:tr>
      <w:tr w:rsidR="00341176" w:rsidTr="00341176">
        <w:tc>
          <w:tcPr>
            <w:tcW w:w="1374" w:type="dxa"/>
            <w:shd w:val="clear" w:color="auto" w:fill="F2F2F2" w:themeFill="background1" w:themeFillShade="F2"/>
            <w:vAlign w:val="center"/>
          </w:tcPr>
          <w:p w:rsidR="00341176" w:rsidRPr="00347894" w:rsidRDefault="00341176" w:rsidP="005F57D9">
            <w:pPr>
              <w:jc w:val="center"/>
              <w:rPr>
                <w:i/>
              </w:rPr>
            </w:pPr>
            <w:r w:rsidRPr="00347894">
              <w:rPr>
                <w:i/>
              </w:rPr>
              <w:t>Max</w:t>
            </w:r>
          </w:p>
        </w:tc>
        <w:tc>
          <w:tcPr>
            <w:tcW w:w="1974" w:type="dxa"/>
            <w:vAlign w:val="center"/>
          </w:tcPr>
          <w:p w:rsidR="00341176" w:rsidRDefault="00341176" w:rsidP="005F57D9">
            <w:pPr>
              <w:jc w:val="center"/>
            </w:pPr>
            <w:r>
              <w:t>$115,250</w:t>
            </w:r>
          </w:p>
        </w:tc>
        <w:tc>
          <w:tcPr>
            <w:tcW w:w="2070" w:type="dxa"/>
            <w:vAlign w:val="center"/>
          </w:tcPr>
          <w:p w:rsidR="00341176" w:rsidRDefault="00341176" w:rsidP="005F57D9">
            <w:pPr>
              <w:jc w:val="center"/>
            </w:pPr>
            <w:r>
              <w:t>$150,000</w:t>
            </w:r>
          </w:p>
        </w:tc>
        <w:tc>
          <w:tcPr>
            <w:tcW w:w="1890" w:type="dxa"/>
          </w:tcPr>
          <w:p w:rsidR="00341176" w:rsidRDefault="00341176" w:rsidP="005F57D9">
            <w:pPr>
              <w:jc w:val="center"/>
            </w:pPr>
            <w:r>
              <w:t>$89,964</w:t>
            </w:r>
          </w:p>
        </w:tc>
        <w:tc>
          <w:tcPr>
            <w:tcW w:w="2268" w:type="dxa"/>
          </w:tcPr>
          <w:p w:rsidR="00341176" w:rsidRDefault="00341176" w:rsidP="005F57D9">
            <w:pPr>
              <w:jc w:val="center"/>
            </w:pPr>
            <w:r>
              <w:t>$40,000</w:t>
            </w:r>
          </w:p>
        </w:tc>
      </w:tr>
      <w:tr w:rsidR="00341176" w:rsidTr="00341176">
        <w:tc>
          <w:tcPr>
            <w:tcW w:w="1374" w:type="dxa"/>
            <w:shd w:val="clear" w:color="auto" w:fill="F2F2F2" w:themeFill="background1" w:themeFillShade="F2"/>
            <w:vAlign w:val="center"/>
          </w:tcPr>
          <w:p w:rsidR="00341176" w:rsidRPr="00347894" w:rsidRDefault="00341176" w:rsidP="005F57D9">
            <w:pPr>
              <w:jc w:val="center"/>
              <w:rPr>
                <w:i/>
              </w:rPr>
            </w:pPr>
            <w:r w:rsidRPr="00347894">
              <w:rPr>
                <w:i/>
              </w:rPr>
              <w:t>Mean</w:t>
            </w:r>
            <w:r>
              <w:rPr>
                <w:i/>
              </w:rPr>
              <w:t>(±SEM)</w:t>
            </w:r>
          </w:p>
        </w:tc>
        <w:tc>
          <w:tcPr>
            <w:tcW w:w="1974" w:type="dxa"/>
            <w:vAlign w:val="center"/>
          </w:tcPr>
          <w:p w:rsidR="00341176" w:rsidRDefault="00341176" w:rsidP="005F57D9">
            <w:pPr>
              <w:jc w:val="center"/>
            </w:pPr>
            <w:r>
              <w:t>$26,356 ± $4,339</w:t>
            </w:r>
          </w:p>
        </w:tc>
        <w:tc>
          <w:tcPr>
            <w:tcW w:w="2070" w:type="dxa"/>
            <w:vAlign w:val="center"/>
          </w:tcPr>
          <w:p w:rsidR="00341176" w:rsidRDefault="00341176" w:rsidP="005F57D9">
            <w:pPr>
              <w:jc w:val="center"/>
            </w:pPr>
            <w:r>
              <w:t>$72,636 ± $26,932</w:t>
            </w:r>
          </w:p>
        </w:tc>
        <w:tc>
          <w:tcPr>
            <w:tcW w:w="1890" w:type="dxa"/>
            <w:vAlign w:val="center"/>
          </w:tcPr>
          <w:p w:rsidR="00341176" w:rsidRDefault="00341176" w:rsidP="00341176">
            <w:pPr>
              <w:jc w:val="center"/>
            </w:pPr>
            <w:r>
              <w:t>$21,551 ± $2,906</w:t>
            </w:r>
          </w:p>
        </w:tc>
        <w:tc>
          <w:tcPr>
            <w:tcW w:w="2268" w:type="dxa"/>
            <w:vAlign w:val="center"/>
          </w:tcPr>
          <w:p w:rsidR="00341176" w:rsidRDefault="00341176" w:rsidP="00341176">
            <w:pPr>
              <w:jc w:val="center"/>
            </w:pPr>
            <w:r>
              <w:t>$29,393 ± $5,322</w:t>
            </w:r>
          </w:p>
        </w:tc>
      </w:tr>
      <w:tr w:rsidR="00341176" w:rsidTr="00341176">
        <w:tc>
          <w:tcPr>
            <w:tcW w:w="1374" w:type="dxa"/>
            <w:shd w:val="clear" w:color="auto" w:fill="F2F2F2" w:themeFill="background1" w:themeFillShade="F2"/>
            <w:vAlign w:val="center"/>
          </w:tcPr>
          <w:p w:rsidR="00341176" w:rsidRPr="00347894" w:rsidRDefault="00341176" w:rsidP="005F57D9">
            <w:pPr>
              <w:jc w:val="center"/>
              <w:rPr>
                <w:i/>
              </w:rPr>
            </w:pPr>
            <w:r w:rsidRPr="00347894">
              <w:rPr>
                <w:i/>
              </w:rPr>
              <w:t>Median</w:t>
            </w:r>
          </w:p>
        </w:tc>
        <w:tc>
          <w:tcPr>
            <w:tcW w:w="1974" w:type="dxa"/>
            <w:vAlign w:val="center"/>
          </w:tcPr>
          <w:p w:rsidR="00341176" w:rsidRDefault="00341176" w:rsidP="005F57D9">
            <w:pPr>
              <w:jc w:val="center"/>
            </w:pPr>
            <w:r>
              <w:t>$16,150</w:t>
            </w:r>
          </w:p>
        </w:tc>
        <w:tc>
          <w:tcPr>
            <w:tcW w:w="2070" w:type="dxa"/>
            <w:vAlign w:val="center"/>
          </w:tcPr>
          <w:p w:rsidR="00341176" w:rsidRDefault="00341176" w:rsidP="005F57D9">
            <w:pPr>
              <w:jc w:val="center"/>
            </w:pPr>
            <w:r>
              <w:t>$40,000</w:t>
            </w:r>
          </w:p>
        </w:tc>
        <w:tc>
          <w:tcPr>
            <w:tcW w:w="1890" w:type="dxa"/>
          </w:tcPr>
          <w:p w:rsidR="00341176" w:rsidRDefault="00341176" w:rsidP="005F57D9">
            <w:pPr>
              <w:jc w:val="center"/>
            </w:pPr>
            <w:r>
              <w:t>$15,720</w:t>
            </w:r>
          </w:p>
        </w:tc>
        <w:tc>
          <w:tcPr>
            <w:tcW w:w="2268" w:type="dxa"/>
          </w:tcPr>
          <w:p w:rsidR="00341176" w:rsidRDefault="00341176" w:rsidP="005F57D9">
            <w:pPr>
              <w:jc w:val="center"/>
            </w:pPr>
            <w:r>
              <w:t>$24,843</w:t>
            </w:r>
          </w:p>
        </w:tc>
      </w:tr>
      <w:tr w:rsidR="00341176" w:rsidTr="00341176">
        <w:tc>
          <w:tcPr>
            <w:tcW w:w="1374" w:type="dxa"/>
            <w:shd w:val="clear" w:color="auto" w:fill="F2F2F2" w:themeFill="background1" w:themeFillShade="F2"/>
            <w:vAlign w:val="center"/>
          </w:tcPr>
          <w:p w:rsidR="00341176" w:rsidRPr="00347894" w:rsidRDefault="00341176" w:rsidP="005F57D9">
            <w:pPr>
              <w:jc w:val="center"/>
              <w:rPr>
                <w:i/>
              </w:rPr>
            </w:pPr>
            <w:r w:rsidRPr="00347894">
              <w:rPr>
                <w:i/>
              </w:rPr>
              <w:t>Mode</w:t>
            </w:r>
          </w:p>
        </w:tc>
        <w:tc>
          <w:tcPr>
            <w:tcW w:w="1974" w:type="dxa"/>
            <w:vAlign w:val="center"/>
          </w:tcPr>
          <w:p w:rsidR="00341176" w:rsidRDefault="00341176" w:rsidP="005F57D9">
            <w:pPr>
              <w:jc w:val="center"/>
            </w:pPr>
            <w:r>
              <w:t>$29,006</w:t>
            </w:r>
          </w:p>
        </w:tc>
        <w:tc>
          <w:tcPr>
            <w:tcW w:w="2070" w:type="dxa"/>
            <w:vAlign w:val="center"/>
          </w:tcPr>
          <w:p w:rsidR="00341176" w:rsidRDefault="00341176" w:rsidP="005F57D9">
            <w:pPr>
              <w:jc w:val="center"/>
            </w:pPr>
            <w:r>
              <w:t>---</w:t>
            </w:r>
          </w:p>
        </w:tc>
        <w:tc>
          <w:tcPr>
            <w:tcW w:w="1890" w:type="dxa"/>
          </w:tcPr>
          <w:p w:rsidR="00341176" w:rsidRDefault="00341176" w:rsidP="005F57D9">
            <w:pPr>
              <w:jc w:val="center"/>
            </w:pPr>
            <w:r>
              <w:t>$29,006</w:t>
            </w:r>
          </w:p>
        </w:tc>
        <w:tc>
          <w:tcPr>
            <w:tcW w:w="2268" w:type="dxa"/>
          </w:tcPr>
          <w:p w:rsidR="00341176" w:rsidRDefault="00341176" w:rsidP="005F57D9">
            <w:pPr>
              <w:jc w:val="center"/>
            </w:pPr>
            <w:r>
              <w:t>---</w:t>
            </w:r>
          </w:p>
        </w:tc>
      </w:tr>
    </w:tbl>
    <w:p w:rsidR="00347894" w:rsidRDefault="00347894" w:rsidP="004B5C7E"/>
    <w:p w:rsidR="00C45273" w:rsidRPr="00341176" w:rsidRDefault="00C45273" w:rsidP="004B5C7E">
      <w:r>
        <w:t xml:space="preserve">This </w:t>
      </w:r>
      <w:r w:rsidR="00341176">
        <w:t xml:space="preserve">indicates that the federal funding received to conduct a EWBB survey through the Farm Bill was about 3 times what was received through the CAPS program when all states with EWBB </w:t>
      </w:r>
      <w:r w:rsidR="0039375B">
        <w:t>surveys are included. W</w:t>
      </w:r>
      <w:r w:rsidR="00341176">
        <w:t xml:space="preserve">hen the funding for California is removed from the comparison, the funding for the surveys </w:t>
      </w:r>
      <w:r w:rsidR="0039375B">
        <w:t>with CAPS or Farm Bill as a funding source are</w:t>
      </w:r>
      <w:bookmarkStart w:id="0" w:name="_GoBack"/>
      <w:bookmarkEnd w:id="0"/>
      <w:r w:rsidR="005F57D9">
        <w:t xml:space="preserve"> remarkably consistent</w:t>
      </w:r>
      <w:r w:rsidR="00341176">
        <w:t>. Funding for California surveys was highest regardless of funding source. In short, the appearance of a difference in funding dollars between CAPS and Farm Bill is an artifact of fewer states receiving E</w:t>
      </w:r>
      <w:r w:rsidR="005F57D9">
        <w:t>WBB funds through the Farm Bill, and overrepresentation of costs associated with survey in California in the Farm Bill summaries.</w:t>
      </w:r>
    </w:p>
    <w:p w:rsidR="005F57D9" w:rsidRDefault="005F57D9">
      <w:r>
        <w:br w:type="page"/>
      </w:r>
    </w:p>
    <w:p w:rsidR="00347894" w:rsidRDefault="00347894" w:rsidP="004B5C7E">
      <w:r>
        <w:lastRenderedPageBreak/>
        <w:t>Table 2: Comparisons of number of pest targets between CAPS and Farm Bill EWBB Surveys</w:t>
      </w:r>
    </w:p>
    <w:tbl>
      <w:tblPr>
        <w:tblStyle w:val="TableGrid"/>
        <w:tblW w:w="0" w:type="auto"/>
        <w:tblLook w:val="04A0" w:firstRow="1" w:lastRow="0" w:firstColumn="1" w:lastColumn="0" w:noHBand="0" w:noVBand="1"/>
      </w:tblPr>
      <w:tblGrid>
        <w:gridCol w:w="1374"/>
        <w:gridCol w:w="1974"/>
        <w:gridCol w:w="2070"/>
        <w:gridCol w:w="1890"/>
        <w:gridCol w:w="2268"/>
      </w:tblGrid>
      <w:tr w:rsidR="00ED7D71" w:rsidTr="005F57D9">
        <w:tc>
          <w:tcPr>
            <w:tcW w:w="1374" w:type="dxa"/>
            <w:vMerge w:val="restart"/>
            <w:shd w:val="clear" w:color="auto" w:fill="F2F2F2" w:themeFill="background1" w:themeFillShade="F2"/>
            <w:vAlign w:val="center"/>
          </w:tcPr>
          <w:p w:rsidR="00ED7D71" w:rsidRDefault="00ED7D71" w:rsidP="005F57D9">
            <w:pPr>
              <w:jc w:val="center"/>
            </w:pPr>
          </w:p>
        </w:tc>
        <w:tc>
          <w:tcPr>
            <w:tcW w:w="4044" w:type="dxa"/>
            <w:gridSpan w:val="2"/>
            <w:shd w:val="clear" w:color="auto" w:fill="F2F2F2" w:themeFill="background1" w:themeFillShade="F2"/>
            <w:vAlign w:val="center"/>
          </w:tcPr>
          <w:p w:rsidR="00ED7D71" w:rsidRPr="00347894" w:rsidRDefault="00ED7D71" w:rsidP="005F57D9">
            <w:pPr>
              <w:jc w:val="center"/>
              <w:rPr>
                <w:b/>
              </w:rPr>
            </w:pPr>
            <w:r w:rsidRPr="00347894">
              <w:rPr>
                <w:b/>
              </w:rPr>
              <w:t>Total # Targets Included in Survey</w:t>
            </w:r>
            <w:r>
              <w:rPr>
                <w:b/>
              </w:rPr>
              <w:t xml:space="preserve"> w/ CA</w:t>
            </w:r>
          </w:p>
        </w:tc>
        <w:tc>
          <w:tcPr>
            <w:tcW w:w="4158" w:type="dxa"/>
            <w:gridSpan w:val="2"/>
            <w:shd w:val="clear" w:color="auto" w:fill="F2F2F2" w:themeFill="background1" w:themeFillShade="F2"/>
          </w:tcPr>
          <w:p w:rsidR="00ED7D71" w:rsidRDefault="00ED7D71" w:rsidP="005F57D9">
            <w:pPr>
              <w:jc w:val="center"/>
              <w:rPr>
                <w:b/>
              </w:rPr>
            </w:pPr>
            <w:r w:rsidRPr="00347894">
              <w:rPr>
                <w:b/>
              </w:rPr>
              <w:t>Total # Targets Included in Survey</w:t>
            </w:r>
            <w:r>
              <w:rPr>
                <w:b/>
              </w:rPr>
              <w:t xml:space="preserve"> w/o CA</w:t>
            </w:r>
          </w:p>
        </w:tc>
      </w:tr>
      <w:tr w:rsidR="00ED7D71" w:rsidRPr="00347894" w:rsidTr="005F57D9">
        <w:tc>
          <w:tcPr>
            <w:tcW w:w="1374" w:type="dxa"/>
            <w:vMerge/>
            <w:shd w:val="clear" w:color="auto" w:fill="F2F2F2" w:themeFill="background1" w:themeFillShade="F2"/>
            <w:vAlign w:val="center"/>
          </w:tcPr>
          <w:p w:rsidR="00ED7D71" w:rsidRDefault="00ED7D71" w:rsidP="005F57D9">
            <w:pPr>
              <w:jc w:val="center"/>
            </w:pPr>
          </w:p>
        </w:tc>
        <w:tc>
          <w:tcPr>
            <w:tcW w:w="1974" w:type="dxa"/>
            <w:shd w:val="clear" w:color="auto" w:fill="F2F2F2" w:themeFill="background1" w:themeFillShade="F2"/>
            <w:vAlign w:val="center"/>
          </w:tcPr>
          <w:p w:rsidR="00ED7D71" w:rsidRPr="00347894" w:rsidRDefault="00ED7D71" w:rsidP="005F57D9">
            <w:pPr>
              <w:jc w:val="center"/>
              <w:rPr>
                <w:i/>
              </w:rPr>
            </w:pPr>
            <w:r w:rsidRPr="00347894">
              <w:rPr>
                <w:i/>
              </w:rPr>
              <w:t>CAPS</w:t>
            </w:r>
          </w:p>
        </w:tc>
        <w:tc>
          <w:tcPr>
            <w:tcW w:w="2070" w:type="dxa"/>
            <w:shd w:val="clear" w:color="auto" w:fill="F2F2F2" w:themeFill="background1" w:themeFillShade="F2"/>
            <w:vAlign w:val="center"/>
          </w:tcPr>
          <w:p w:rsidR="00ED7D71" w:rsidRPr="00347894" w:rsidRDefault="00ED7D71" w:rsidP="005F57D9">
            <w:pPr>
              <w:jc w:val="center"/>
              <w:rPr>
                <w:i/>
              </w:rPr>
            </w:pPr>
            <w:r w:rsidRPr="00347894">
              <w:rPr>
                <w:i/>
              </w:rPr>
              <w:t>Farm Bill</w:t>
            </w:r>
          </w:p>
        </w:tc>
        <w:tc>
          <w:tcPr>
            <w:tcW w:w="1890" w:type="dxa"/>
            <w:shd w:val="clear" w:color="auto" w:fill="F2F2F2" w:themeFill="background1" w:themeFillShade="F2"/>
            <w:vAlign w:val="center"/>
          </w:tcPr>
          <w:p w:rsidR="00ED7D71" w:rsidRPr="00347894" w:rsidRDefault="00ED7D71" w:rsidP="005F57D9">
            <w:pPr>
              <w:jc w:val="center"/>
              <w:rPr>
                <w:i/>
              </w:rPr>
            </w:pPr>
            <w:r w:rsidRPr="00347894">
              <w:rPr>
                <w:i/>
              </w:rPr>
              <w:t>CAPS</w:t>
            </w:r>
          </w:p>
        </w:tc>
        <w:tc>
          <w:tcPr>
            <w:tcW w:w="2268" w:type="dxa"/>
            <w:shd w:val="clear" w:color="auto" w:fill="F2F2F2" w:themeFill="background1" w:themeFillShade="F2"/>
            <w:vAlign w:val="center"/>
          </w:tcPr>
          <w:p w:rsidR="00ED7D71" w:rsidRPr="00347894" w:rsidRDefault="00ED7D71" w:rsidP="005F57D9">
            <w:pPr>
              <w:jc w:val="center"/>
              <w:rPr>
                <w:i/>
              </w:rPr>
            </w:pPr>
            <w:r w:rsidRPr="00347894">
              <w:rPr>
                <w:i/>
              </w:rPr>
              <w:t>Farm Bill</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Min</w:t>
            </w:r>
          </w:p>
        </w:tc>
        <w:tc>
          <w:tcPr>
            <w:tcW w:w="1974" w:type="dxa"/>
            <w:vAlign w:val="center"/>
          </w:tcPr>
          <w:p w:rsidR="00ED7D71" w:rsidRDefault="00ED7D71" w:rsidP="005F57D9">
            <w:pPr>
              <w:jc w:val="center"/>
            </w:pPr>
            <w:r>
              <w:t>3</w:t>
            </w:r>
          </w:p>
        </w:tc>
        <w:tc>
          <w:tcPr>
            <w:tcW w:w="2070" w:type="dxa"/>
            <w:vAlign w:val="center"/>
          </w:tcPr>
          <w:p w:rsidR="00ED7D71" w:rsidRDefault="00ED7D71" w:rsidP="005F57D9">
            <w:pPr>
              <w:jc w:val="center"/>
            </w:pPr>
            <w:r>
              <w:t>7</w:t>
            </w:r>
          </w:p>
        </w:tc>
        <w:tc>
          <w:tcPr>
            <w:tcW w:w="1890" w:type="dxa"/>
          </w:tcPr>
          <w:p w:rsidR="00ED7D71" w:rsidRDefault="00ED7D71" w:rsidP="005F57D9">
            <w:pPr>
              <w:jc w:val="center"/>
            </w:pPr>
            <w:r>
              <w:t>3</w:t>
            </w:r>
          </w:p>
        </w:tc>
        <w:tc>
          <w:tcPr>
            <w:tcW w:w="2268" w:type="dxa"/>
          </w:tcPr>
          <w:p w:rsidR="00ED7D71" w:rsidRDefault="00ED7D71" w:rsidP="005F57D9">
            <w:pPr>
              <w:jc w:val="center"/>
            </w:pPr>
            <w:r>
              <w:t>7</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Max</w:t>
            </w:r>
          </w:p>
        </w:tc>
        <w:tc>
          <w:tcPr>
            <w:tcW w:w="1974" w:type="dxa"/>
            <w:vAlign w:val="center"/>
          </w:tcPr>
          <w:p w:rsidR="00ED7D71" w:rsidRDefault="00ED7D71" w:rsidP="005F57D9">
            <w:pPr>
              <w:jc w:val="center"/>
            </w:pPr>
            <w:r>
              <w:t>29</w:t>
            </w:r>
          </w:p>
        </w:tc>
        <w:tc>
          <w:tcPr>
            <w:tcW w:w="2070" w:type="dxa"/>
            <w:vAlign w:val="center"/>
          </w:tcPr>
          <w:p w:rsidR="00ED7D71" w:rsidRDefault="00ED7D71" w:rsidP="005F57D9">
            <w:pPr>
              <w:jc w:val="center"/>
            </w:pPr>
            <w:r>
              <w:t>15</w:t>
            </w:r>
          </w:p>
        </w:tc>
        <w:tc>
          <w:tcPr>
            <w:tcW w:w="1890" w:type="dxa"/>
          </w:tcPr>
          <w:p w:rsidR="00ED7D71" w:rsidRDefault="00ED7D71" w:rsidP="005F57D9">
            <w:pPr>
              <w:jc w:val="center"/>
            </w:pPr>
            <w:r>
              <w:t>17</w:t>
            </w:r>
          </w:p>
        </w:tc>
        <w:tc>
          <w:tcPr>
            <w:tcW w:w="2268" w:type="dxa"/>
          </w:tcPr>
          <w:p w:rsidR="00ED7D71" w:rsidRDefault="00ED7D71" w:rsidP="005F57D9">
            <w:pPr>
              <w:jc w:val="center"/>
            </w:pPr>
            <w:r>
              <w:t>9</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Mean</w:t>
            </w:r>
            <w:r>
              <w:rPr>
                <w:i/>
              </w:rPr>
              <w:t>(±SEM)</w:t>
            </w:r>
          </w:p>
        </w:tc>
        <w:tc>
          <w:tcPr>
            <w:tcW w:w="1974" w:type="dxa"/>
            <w:vAlign w:val="center"/>
          </w:tcPr>
          <w:p w:rsidR="00ED7D71" w:rsidRDefault="00ED7D71" w:rsidP="005F57D9">
            <w:pPr>
              <w:jc w:val="center"/>
            </w:pPr>
            <w:r>
              <w:t>9 ± 0.74</w:t>
            </w:r>
          </w:p>
        </w:tc>
        <w:tc>
          <w:tcPr>
            <w:tcW w:w="2070" w:type="dxa"/>
            <w:vAlign w:val="center"/>
          </w:tcPr>
          <w:p w:rsidR="00ED7D71" w:rsidRDefault="00ED7D71" w:rsidP="005F57D9">
            <w:pPr>
              <w:jc w:val="center"/>
            </w:pPr>
            <w:r>
              <w:t>10.4 ± 1.4</w:t>
            </w:r>
          </w:p>
        </w:tc>
        <w:tc>
          <w:tcPr>
            <w:tcW w:w="1890" w:type="dxa"/>
            <w:vAlign w:val="center"/>
          </w:tcPr>
          <w:p w:rsidR="00ED7D71" w:rsidRDefault="00ED7D71" w:rsidP="00ED7D71">
            <w:pPr>
              <w:jc w:val="center"/>
            </w:pPr>
            <w:r>
              <w:t xml:space="preserve">8.3 ±  0.5 </w:t>
            </w:r>
          </w:p>
        </w:tc>
        <w:tc>
          <w:tcPr>
            <w:tcW w:w="2268" w:type="dxa"/>
            <w:vAlign w:val="center"/>
          </w:tcPr>
          <w:p w:rsidR="00ED7D71" w:rsidRDefault="00ED7D71" w:rsidP="00ED7D71">
            <w:pPr>
              <w:jc w:val="center"/>
            </w:pPr>
            <w:r>
              <w:t xml:space="preserve">8.3 ± 0.7 </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Median</w:t>
            </w:r>
          </w:p>
        </w:tc>
        <w:tc>
          <w:tcPr>
            <w:tcW w:w="1974" w:type="dxa"/>
            <w:vAlign w:val="center"/>
          </w:tcPr>
          <w:p w:rsidR="00ED7D71" w:rsidRDefault="00ED7D71" w:rsidP="005F57D9">
            <w:pPr>
              <w:jc w:val="center"/>
            </w:pPr>
            <w:r>
              <w:t>9</w:t>
            </w:r>
          </w:p>
        </w:tc>
        <w:tc>
          <w:tcPr>
            <w:tcW w:w="2070" w:type="dxa"/>
            <w:vAlign w:val="center"/>
          </w:tcPr>
          <w:p w:rsidR="00ED7D71" w:rsidRDefault="00ED7D71" w:rsidP="005F57D9">
            <w:pPr>
              <w:jc w:val="center"/>
            </w:pPr>
            <w:r>
              <w:t>9</w:t>
            </w:r>
          </w:p>
        </w:tc>
        <w:tc>
          <w:tcPr>
            <w:tcW w:w="1890" w:type="dxa"/>
          </w:tcPr>
          <w:p w:rsidR="00ED7D71" w:rsidRDefault="00ED7D71" w:rsidP="005F57D9">
            <w:pPr>
              <w:jc w:val="center"/>
            </w:pPr>
            <w:r>
              <w:t>8</w:t>
            </w:r>
          </w:p>
        </w:tc>
        <w:tc>
          <w:tcPr>
            <w:tcW w:w="2268" w:type="dxa"/>
          </w:tcPr>
          <w:p w:rsidR="00ED7D71" w:rsidRDefault="00ED7D71" w:rsidP="005F57D9">
            <w:pPr>
              <w:jc w:val="center"/>
            </w:pPr>
            <w:r>
              <w:t>9</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Mode</w:t>
            </w:r>
          </w:p>
        </w:tc>
        <w:tc>
          <w:tcPr>
            <w:tcW w:w="1974" w:type="dxa"/>
            <w:vAlign w:val="center"/>
          </w:tcPr>
          <w:p w:rsidR="00ED7D71" w:rsidRDefault="00ED7D71" w:rsidP="005F57D9">
            <w:pPr>
              <w:jc w:val="center"/>
            </w:pPr>
            <w:r>
              <w:t>9</w:t>
            </w:r>
          </w:p>
        </w:tc>
        <w:tc>
          <w:tcPr>
            <w:tcW w:w="2070" w:type="dxa"/>
            <w:vAlign w:val="center"/>
          </w:tcPr>
          <w:p w:rsidR="00ED7D71" w:rsidRDefault="00ED7D71" w:rsidP="005F57D9">
            <w:pPr>
              <w:jc w:val="center"/>
            </w:pPr>
            <w:r>
              <w:t>9</w:t>
            </w:r>
          </w:p>
        </w:tc>
        <w:tc>
          <w:tcPr>
            <w:tcW w:w="1890" w:type="dxa"/>
          </w:tcPr>
          <w:p w:rsidR="00ED7D71" w:rsidRDefault="00ED7D71" w:rsidP="005F57D9">
            <w:pPr>
              <w:jc w:val="center"/>
            </w:pPr>
            <w:r>
              <w:t>9</w:t>
            </w:r>
          </w:p>
        </w:tc>
        <w:tc>
          <w:tcPr>
            <w:tcW w:w="2268" w:type="dxa"/>
          </w:tcPr>
          <w:p w:rsidR="00ED7D71" w:rsidRDefault="00ED7D71" w:rsidP="005F57D9">
            <w:pPr>
              <w:jc w:val="center"/>
            </w:pPr>
            <w:r>
              <w:t>9</w:t>
            </w:r>
          </w:p>
        </w:tc>
      </w:tr>
    </w:tbl>
    <w:p w:rsidR="004B5C7E" w:rsidRDefault="004B5C7E" w:rsidP="004B5C7E"/>
    <w:p w:rsidR="00ED7D71" w:rsidRDefault="00ED7D71" w:rsidP="00347894">
      <w:r>
        <w:t>In general, regardless of funding source, states surveyed for about 9 targets per survey.</w:t>
      </w:r>
    </w:p>
    <w:p w:rsidR="00ED7D71" w:rsidRDefault="00ED7D71"/>
    <w:p w:rsidR="00ED7D71" w:rsidRDefault="00347894" w:rsidP="00347894">
      <w:r>
        <w:t>Table 3: Comparisons of number of sites between CAPS and Farm Bill EWBB Surveys</w:t>
      </w:r>
    </w:p>
    <w:tbl>
      <w:tblPr>
        <w:tblStyle w:val="TableGrid"/>
        <w:tblW w:w="0" w:type="auto"/>
        <w:tblLook w:val="04A0" w:firstRow="1" w:lastRow="0" w:firstColumn="1" w:lastColumn="0" w:noHBand="0" w:noVBand="1"/>
      </w:tblPr>
      <w:tblGrid>
        <w:gridCol w:w="1374"/>
        <w:gridCol w:w="1974"/>
        <w:gridCol w:w="2070"/>
        <w:gridCol w:w="1890"/>
        <w:gridCol w:w="2268"/>
      </w:tblGrid>
      <w:tr w:rsidR="00ED7D71" w:rsidTr="005F57D9">
        <w:tc>
          <w:tcPr>
            <w:tcW w:w="1374" w:type="dxa"/>
            <w:vMerge w:val="restart"/>
            <w:shd w:val="clear" w:color="auto" w:fill="F2F2F2" w:themeFill="background1" w:themeFillShade="F2"/>
            <w:vAlign w:val="center"/>
          </w:tcPr>
          <w:p w:rsidR="00ED7D71" w:rsidRDefault="00ED7D71" w:rsidP="005F57D9">
            <w:pPr>
              <w:jc w:val="center"/>
            </w:pPr>
          </w:p>
        </w:tc>
        <w:tc>
          <w:tcPr>
            <w:tcW w:w="4044" w:type="dxa"/>
            <w:gridSpan w:val="2"/>
            <w:shd w:val="clear" w:color="auto" w:fill="F2F2F2" w:themeFill="background1" w:themeFillShade="F2"/>
            <w:vAlign w:val="center"/>
          </w:tcPr>
          <w:p w:rsidR="00ED7D71" w:rsidRPr="00347894" w:rsidRDefault="00ED7D71" w:rsidP="00ED7D71">
            <w:pPr>
              <w:jc w:val="center"/>
              <w:rPr>
                <w:b/>
              </w:rPr>
            </w:pPr>
            <w:r w:rsidRPr="00347894">
              <w:rPr>
                <w:b/>
              </w:rPr>
              <w:t xml:space="preserve">Total # </w:t>
            </w:r>
            <w:r>
              <w:rPr>
                <w:b/>
              </w:rPr>
              <w:t>Sites</w:t>
            </w:r>
            <w:r w:rsidRPr="00347894">
              <w:rPr>
                <w:b/>
              </w:rPr>
              <w:t xml:space="preserve"> Included in Survey</w:t>
            </w:r>
            <w:r>
              <w:rPr>
                <w:b/>
              </w:rPr>
              <w:t xml:space="preserve"> w/ CA</w:t>
            </w:r>
          </w:p>
        </w:tc>
        <w:tc>
          <w:tcPr>
            <w:tcW w:w="4158" w:type="dxa"/>
            <w:gridSpan w:val="2"/>
            <w:shd w:val="clear" w:color="auto" w:fill="F2F2F2" w:themeFill="background1" w:themeFillShade="F2"/>
          </w:tcPr>
          <w:p w:rsidR="00ED7D71" w:rsidRDefault="00ED7D71" w:rsidP="00ED7D71">
            <w:pPr>
              <w:jc w:val="center"/>
              <w:rPr>
                <w:b/>
              </w:rPr>
            </w:pPr>
            <w:r w:rsidRPr="00347894">
              <w:rPr>
                <w:b/>
              </w:rPr>
              <w:t xml:space="preserve">Total # </w:t>
            </w:r>
            <w:r>
              <w:rPr>
                <w:b/>
              </w:rPr>
              <w:t>Sites</w:t>
            </w:r>
            <w:r w:rsidRPr="00347894">
              <w:rPr>
                <w:b/>
              </w:rPr>
              <w:t xml:space="preserve"> Included in Survey</w:t>
            </w:r>
            <w:r>
              <w:rPr>
                <w:b/>
              </w:rPr>
              <w:t xml:space="preserve"> w/o CA</w:t>
            </w:r>
          </w:p>
        </w:tc>
      </w:tr>
      <w:tr w:rsidR="00ED7D71" w:rsidRPr="00347894" w:rsidTr="005F57D9">
        <w:tc>
          <w:tcPr>
            <w:tcW w:w="1374" w:type="dxa"/>
            <w:vMerge/>
            <w:shd w:val="clear" w:color="auto" w:fill="F2F2F2" w:themeFill="background1" w:themeFillShade="F2"/>
            <w:vAlign w:val="center"/>
          </w:tcPr>
          <w:p w:rsidR="00ED7D71" w:rsidRDefault="00ED7D71" w:rsidP="005F57D9">
            <w:pPr>
              <w:jc w:val="center"/>
            </w:pPr>
          </w:p>
        </w:tc>
        <w:tc>
          <w:tcPr>
            <w:tcW w:w="1974" w:type="dxa"/>
            <w:shd w:val="clear" w:color="auto" w:fill="F2F2F2" w:themeFill="background1" w:themeFillShade="F2"/>
            <w:vAlign w:val="center"/>
          </w:tcPr>
          <w:p w:rsidR="00ED7D71" w:rsidRPr="00347894" w:rsidRDefault="00ED7D71" w:rsidP="005F57D9">
            <w:pPr>
              <w:jc w:val="center"/>
              <w:rPr>
                <w:i/>
              </w:rPr>
            </w:pPr>
            <w:r w:rsidRPr="00347894">
              <w:rPr>
                <w:i/>
              </w:rPr>
              <w:t>CAPS</w:t>
            </w:r>
          </w:p>
        </w:tc>
        <w:tc>
          <w:tcPr>
            <w:tcW w:w="2070" w:type="dxa"/>
            <w:shd w:val="clear" w:color="auto" w:fill="F2F2F2" w:themeFill="background1" w:themeFillShade="F2"/>
            <w:vAlign w:val="center"/>
          </w:tcPr>
          <w:p w:rsidR="00ED7D71" w:rsidRPr="00347894" w:rsidRDefault="00ED7D71" w:rsidP="005F57D9">
            <w:pPr>
              <w:jc w:val="center"/>
              <w:rPr>
                <w:i/>
              </w:rPr>
            </w:pPr>
            <w:r w:rsidRPr="00347894">
              <w:rPr>
                <w:i/>
              </w:rPr>
              <w:t>Farm Bill</w:t>
            </w:r>
          </w:p>
        </w:tc>
        <w:tc>
          <w:tcPr>
            <w:tcW w:w="1890" w:type="dxa"/>
            <w:shd w:val="clear" w:color="auto" w:fill="F2F2F2" w:themeFill="background1" w:themeFillShade="F2"/>
            <w:vAlign w:val="center"/>
          </w:tcPr>
          <w:p w:rsidR="00ED7D71" w:rsidRPr="00347894" w:rsidRDefault="00ED7D71" w:rsidP="005F57D9">
            <w:pPr>
              <w:jc w:val="center"/>
              <w:rPr>
                <w:i/>
              </w:rPr>
            </w:pPr>
            <w:r w:rsidRPr="00347894">
              <w:rPr>
                <w:i/>
              </w:rPr>
              <w:t>CAPS</w:t>
            </w:r>
          </w:p>
        </w:tc>
        <w:tc>
          <w:tcPr>
            <w:tcW w:w="2268" w:type="dxa"/>
            <w:shd w:val="clear" w:color="auto" w:fill="F2F2F2" w:themeFill="background1" w:themeFillShade="F2"/>
            <w:vAlign w:val="center"/>
          </w:tcPr>
          <w:p w:rsidR="00ED7D71" w:rsidRPr="00347894" w:rsidRDefault="00ED7D71" w:rsidP="005F57D9">
            <w:pPr>
              <w:jc w:val="center"/>
              <w:rPr>
                <w:i/>
              </w:rPr>
            </w:pPr>
            <w:r w:rsidRPr="00347894">
              <w:rPr>
                <w:i/>
              </w:rPr>
              <w:t>Farm Bill</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Min</w:t>
            </w:r>
          </w:p>
        </w:tc>
        <w:tc>
          <w:tcPr>
            <w:tcW w:w="1974" w:type="dxa"/>
            <w:vAlign w:val="center"/>
          </w:tcPr>
          <w:p w:rsidR="00ED7D71" w:rsidRDefault="00ED7D71" w:rsidP="005F57D9">
            <w:pPr>
              <w:jc w:val="center"/>
            </w:pPr>
            <w:r>
              <w:t>5</w:t>
            </w:r>
          </w:p>
        </w:tc>
        <w:tc>
          <w:tcPr>
            <w:tcW w:w="2070" w:type="dxa"/>
            <w:vAlign w:val="center"/>
          </w:tcPr>
          <w:p w:rsidR="00ED7D71" w:rsidRDefault="00ED7D71" w:rsidP="005F57D9">
            <w:pPr>
              <w:jc w:val="center"/>
            </w:pPr>
            <w:r>
              <w:t>8</w:t>
            </w:r>
          </w:p>
        </w:tc>
        <w:tc>
          <w:tcPr>
            <w:tcW w:w="1890" w:type="dxa"/>
          </w:tcPr>
          <w:p w:rsidR="00ED7D71" w:rsidRDefault="00ED7D71" w:rsidP="005F57D9">
            <w:pPr>
              <w:jc w:val="center"/>
            </w:pPr>
            <w:r>
              <w:t>5</w:t>
            </w:r>
          </w:p>
        </w:tc>
        <w:tc>
          <w:tcPr>
            <w:tcW w:w="2268" w:type="dxa"/>
          </w:tcPr>
          <w:p w:rsidR="00ED7D71" w:rsidRDefault="00ED7D71" w:rsidP="005F57D9">
            <w:pPr>
              <w:jc w:val="center"/>
            </w:pPr>
            <w:r>
              <w:t>8</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Max</w:t>
            </w:r>
          </w:p>
        </w:tc>
        <w:tc>
          <w:tcPr>
            <w:tcW w:w="1974" w:type="dxa"/>
            <w:vAlign w:val="center"/>
          </w:tcPr>
          <w:p w:rsidR="00ED7D71" w:rsidRDefault="00ED7D71" w:rsidP="005F57D9">
            <w:pPr>
              <w:jc w:val="center"/>
            </w:pPr>
            <w:r>
              <w:t>330</w:t>
            </w:r>
          </w:p>
        </w:tc>
        <w:tc>
          <w:tcPr>
            <w:tcW w:w="2070" w:type="dxa"/>
            <w:vAlign w:val="center"/>
          </w:tcPr>
          <w:p w:rsidR="00ED7D71" w:rsidRDefault="00ED7D71" w:rsidP="005F57D9">
            <w:pPr>
              <w:jc w:val="center"/>
            </w:pPr>
            <w:r>
              <w:t>80</w:t>
            </w:r>
          </w:p>
        </w:tc>
        <w:tc>
          <w:tcPr>
            <w:tcW w:w="1890" w:type="dxa"/>
          </w:tcPr>
          <w:p w:rsidR="00ED7D71" w:rsidRDefault="00ED7D71" w:rsidP="005F57D9">
            <w:pPr>
              <w:jc w:val="center"/>
            </w:pPr>
            <w:r>
              <w:t>330</w:t>
            </w:r>
          </w:p>
        </w:tc>
        <w:tc>
          <w:tcPr>
            <w:tcW w:w="2268" w:type="dxa"/>
          </w:tcPr>
          <w:p w:rsidR="00ED7D71" w:rsidRDefault="00ED7D71" w:rsidP="005F57D9">
            <w:pPr>
              <w:jc w:val="center"/>
            </w:pPr>
            <w:r>
              <w:t>20</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Mean</w:t>
            </w:r>
            <w:r>
              <w:rPr>
                <w:i/>
              </w:rPr>
              <w:t>(±SEM)</w:t>
            </w:r>
          </w:p>
        </w:tc>
        <w:tc>
          <w:tcPr>
            <w:tcW w:w="1974" w:type="dxa"/>
            <w:vAlign w:val="center"/>
          </w:tcPr>
          <w:p w:rsidR="00ED7D71" w:rsidRDefault="00ED7D71" w:rsidP="005F57D9">
            <w:pPr>
              <w:jc w:val="center"/>
            </w:pPr>
            <w:r>
              <w:t xml:space="preserve">36.6 ± 11.1 </w:t>
            </w:r>
          </w:p>
        </w:tc>
        <w:tc>
          <w:tcPr>
            <w:tcW w:w="2070" w:type="dxa"/>
            <w:vAlign w:val="center"/>
          </w:tcPr>
          <w:p w:rsidR="00ED7D71" w:rsidRDefault="00ED7D71" w:rsidP="005F57D9">
            <w:pPr>
              <w:jc w:val="center"/>
            </w:pPr>
            <w:r>
              <w:t xml:space="preserve">38.8 ± 16.4 </w:t>
            </w:r>
          </w:p>
        </w:tc>
        <w:tc>
          <w:tcPr>
            <w:tcW w:w="1890" w:type="dxa"/>
            <w:vAlign w:val="center"/>
          </w:tcPr>
          <w:p w:rsidR="00ED7D71" w:rsidRDefault="00ED7D71" w:rsidP="00ED7D71">
            <w:pPr>
              <w:jc w:val="center"/>
            </w:pPr>
            <w:r>
              <w:t xml:space="preserve">34.3 ± 11.6 </w:t>
            </w:r>
          </w:p>
        </w:tc>
        <w:tc>
          <w:tcPr>
            <w:tcW w:w="2268" w:type="dxa"/>
            <w:vAlign w:val="center"/>
          </w:tcPr>
          <w:p w:rsidR="00ED7D71" w:rsidRDefault="00ED7D71" w:rsidP="00ED7D71">
            <w:pPr>
              <w:jc w:val="center"/>
            </w:pPr>
            <w:r>
              <w:t xml:space="preserve">12.3 ± 3.8 </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Median</w:t>
            </w:r>
          </w:p>
        </w:tc>
        <w:tc>
          <w:tcPr>
            <w:tcW w:w="1974" w:type="dxa"/>
            <w:vAlign w:val="center"/>
          </w:tcPr>
          <w:p w:rsidR="00ED7D71" w:rsidRDefault="00ED7D71" w:rsidP="005F57D9">
            <w:pPr>
              <w:jc w:val="center"/>
            </w:pPr>
            <w:r>
              <w:t>15</w:t>
            </w:r>
          </w:p>
        </w:tc>
        <w:tc>
          <w:tcPr>
            <w:tcW w:w="2070" w:type="dxa"/>
            <w:vAlign w:val="center"/>
          </w:tcPr>
          <w:p w:rsidR="00ED7D71" w:rsidRDefault="00ED7D71" w:rsidP="005F57D9">
            <w:pPr>
              <w:jc w:val="center"/>
            </w:pPr>
            <w:r>
              <w:t>20</w:t>
            </w:r>
          </w:p>
        </w:tc>
        <w:tc>
          <w:tcPr>
            <w:tcW w:w="1890" w:type="dxa"/>
          </w:tcPr>
          <w:p w:rsidR="00ED7D71" w:rsidRDefault="00ED7D71" w:rsidP="005F57D9">
            <w:pPr>
              <w:jc w:val="center"/>
            </w:pPr>
            <w:r>
              <w:t>15</w:t>
            </w:r>
          </w:p>
        </w:tc>
        <w:tc>
          <w:tcPr>
            <w:tcW w:w="2268" w:type="dxa"/>
          </w:tcPr>
          <w:p w:rsidR="00ED7D71" w:rsidRDefault="00ED7D71" w:rsidP="005F57D9">
            <w:pPr>
              <w:jc w:val="center"/>
            </w:pPr>
            <w:r>
              <w:t>9</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Mode</w:t>
            </w:r>
          </w:p>
        </w:tc>
        <w:tc>
          <w:tcPr>
            <w:tcW w:w="1974" w:type="dxa"/>
            <w:vAlign w:val="center"/>
          </w:tcPr>
          <w:p w:rsidR="00ED7D71" w:rsidRDefault="00ED7D71" w:rsidP="005F57D9">
            <w:pPr>
              <w:jc w:val="center"/>
            </w:pPr>
            <w:r>
              <w:t>10</w:t>
            </w:r>
          </w:p>
        </w:tc>
        <w:tc>
          <w:tcPr>
            <w:tcW w:w="2070" w:type="dxa"/>
            <w:vAlign w:val="center"/>
          </w:tcPr>
          <w:p w:rsidR="00ED7D71" w:rsidRDefault="00ED7D71" w:rsidP="005F57D9">
            <w:pPr>
              <w:jc w:val="center"/>
            </w:pPr>
            <w:r>
              <w:t>---</w:t>
            </w:r>
          </w:p>
        </w:tc>
        <w:tc>
          <w:tcPr>
            <w:tcW w:w="1890" w:type="dxa"/>
          </w:tcPr>
          <w:p w:rsidR="00ED7D71" w:rsidRDefault="00ED7D71" w:rsidP="005F57D9">
            <w:pPr>
              <w:jc w:val="center"/>
            </w:pPr>
            <w:r>
              <w:t>10</w:t>
            </w:r>
          </w:p>
        </w:tc>
        <w:tc>
          <w:tcPr>
            <w:tcW w:w="2268" w:type="dxa"/>
          </w:tcPr>
          <w:p w:rsidR="00ED7D71" w:rsidRDefault="00ED7D71" w:rsidP="005F57D9">
            <w:pPr>
              <w:jc w:val="center"/>
            </w:pPr>
            <w:r>
              <w:t>---</w:t>
            </w:r>
          </w:p>
        </w:tc>
      </w:tr>
    </w:tbl>
    <w:p w:rsidR="00347894" w:rsidRDefault="00347894" w:rsidP="004B5C7E"/>
    <w:p w:rsidR="00ED7D71" w:rsidRDefault="00ED7D71" w:rsidP="00347894">
      <w:r>
        <w:t xml:space="preserve">Sites included for survey vary widely by state, and this variation is better </w:t>
      </w:r>
      <w:r w:rsidR="005F57D9">
        <w:t>represented within the CAPS funded surveys</w:t>
      </w:r>
      <w:r>
        <w:t xml:space="preserve">. </w:t>
      </w:r>
    </w:p>
    <w:p w:rsidR="00E55EB1" w:rsidRDefault="00E55EB1" w:rsidP="00347894"/>
    <w:p w:rsidR="00347894" w:rsidRDefault="00347894" w:rsidP="00347894">
      <w:r>
        <w:t>Table 4: Comparisons of number of visits between CAPS and Farm Bill EWBB Surveys</w:t>
      </w:r>
    </w:p>
    <w:tbl>
      <w:tblPr>
        <w:tblStyle w:val="TableGrid"/>
        <w:tblW w:w="0" w:type="auto"/>
        <w:tblLook w:val="04A0" w:firstRow="1" w:lastRow="0" w:firstColumn="1" w:lastColumn="0" w:noHBand="0" w:noVBand="1"/>
      </w:tblPr>
      <w:tblGrid>
        <w:gridCol w:w="1374"/>
        <w:gridCol w:w="1974"/>
        <w:gridCol w:w="2070"/>
        <w:gridCol w:w="1890"/>
        <w:gridCol w:w="2268"/>
      </w:tblGrid>
      <w:tr w:rsidR="00ED7D71" w:rsidTr="005F57D9">
        <w:tc>
          <w:tcPr>
            <w:tcW w:w="1374" w:type="dxa"/>
            <w:vMerge w:val="restart"/>
            <w:shd w:val="clear" w:color="auto" w:fill="F2F2F2" w:themeFill="background1" w:themeFillShade="F2"/>
            <w:vAlign w:val="center"/>
          </w:tcPr>
          <w:p w:rsidR="00ED7D71" w:rsidRDefault="00ED7D71" w:rsidP="005F57D9">
            <w:pPr>
              <w:jc w:val="center"/>
            </w:pPr>
          </w:p>
        </w:tc>
        <w:tc>
          <w:tcPr>
            <w:tcW w:w="4044" w:type="dxa"/>
            <w:gridSpan w:val="2"/>
            <w:shd w:val="clear" w:color="auto" w:fill="F2F2F2" w:themeFill="background1" w:themeFillShade="F2"/>
            <w:vAlign w:val="center"/>
          </w:tcPr>
          <w:p w:rsidR="00ED7D71" w:rsidRPr="00347894" w:rsidRDefault="00ED7D71" w:rsidP="00ED7D71">
            <w:pPr>
              <w:jc w:val="center"/>
              <w:rPr>
                <w:b/>
              </w:rPr>
            </w:pPr>
            <w:r w:rsidRPr="00347894">
              <w:rPr>
                <w:b/>
              </w:rPr>
              <w:t xml:space="preserve">Total # </w:t>
            </w:r>
            <w:r>
              <w:rPr>
                <w:b/>
              </w:rPr>
              <w:t>Visits</w:t>
            </w:r>
            <w:r w:rsidRPr="00347894">
              <w:rPr>
                <w:b/>
              </w:rPr>
              <w:t xml:space="preserve"> Included in Survey</w:t>
            </w:r>
            <w:r>
              <w:rPr>
                <w:b/>
              </w:rPr>
              <w:t xml:space="preserve"> w/ CA</w:t>
            </w:r>
          </w:p>
        </w:tc>
        <w:tc>
          <w:tcPr>
            <w:tcW w:w="4158" w:type="dxa"/>
            <w:gridSpan w:val="2"/>
            <w:shd w:val="clear" w:color="auto" w:fill="F2F2F2" w:themeFill="background1" w:themeFillShade="F2"/>
          </w:tcPr>
          <w:p w:rsidR="00ED7D71" w:rsidRDefault="00ED7D71" w:rsidP="00ED7D71">
            <w:pPr>
              <w:jc w:val="center"/>
              <w:rPr>
                <w:b/>
              </w:rPr>
            </w:pPr>
            <w:r w:rsidRPr="00347894">
              <w:rPr>
                <w:b/>
              </w:rPr>
              <w:t xml:space="preserve">Total # </w:t>
            </w:r>
            <w:r>
              <w:rPr>
                <w:b/>
              </w:rPr>
              <w:t>Visits</w:t>
            </w:r>
            <w:r w:rsidRPr="00347894">
              <w:rPr>
                <w:b/>
              </w:rPr>
              <w:t xml:space="preserve"> Included in Survey</w:t>
            </w:r>
            <w:r>
              <w:rPr>
                <w:b/>
              </w:rPr>
              <w:t xml:space="preserve"> w/o CA</w:t>
            </w:r>
          </w:p>
        </w:tc>
      </w:tr>
      <w:tr w:rsidR="00ED7D71" w:rsidRPr="00347894" w:rsidTr="005F57D9">
        <w:tc>
          <w:tcPr>
            <w:tcW w:w="1374" w:type="dxa"/>
            <w:vMerge/>
            <w:shd w:val="clear" w:color="auto" w:fill="F2F2F2" w:themeFill="background1" w:themeFillShade="F2"/>
            <w:vAlign w:val="center"/>
          </w:tcPr>
          <w:p w:rsidR="00ED7D71" w:rsidRDefault="00ED7D71" w:rsidP="005F57D9">
            <w:pPr>
              <w:jc w:val="center"/>
            </w:pPr>
          </w:p>
        </w:tc>
        <w:tc>
          <w:tcPr>
            <w:tcW w:w="1974" w:type="dxa"/>
            <w:shd w:val="clear" w:color="auto" w:fill="F2F2F2" w:themeFill="background1" w:themeFillShade="F2"/>
            <w:vAlign w:val="center"/>
          </w:tcPr>
          <w:p w:rsidR="00ED7D71" w:rsidRPr="00347894" w:rsidRDefault="00ED7D71" w:rsidP="005F57D9">
            <w:pPr>
              <w:jc w:val="center"/>
              <w:rPr>
                <w:i/>
              </w:rPr>
            </w:pPr>
            <w:r w:rsidRPr="00347894">
              <w:rPr>
                <w:i/>
              </w:rPr>
              <w:t>CAPS</w:t>
            </w:r>
          </w:p>
        </w:tc>
        <w:tc>
          <w:tcPr>
            <w:tcW w:w="2070" w:type="dxa"/>
            <w:shd w:val="clear" w:color="auto" w:fill="F2F2F2" w:themeFill="background1" w:themeFillShade="F2"/>
            <w:vAlign w:val="center"/>
          </w:tcPr>
          <w:p w:rsidR="00ED7D71" w:rsidRPr="00347894" w:rsidRDefault="00ED7D71" w:rsidP="005F57D9">
            <w:pPr>
              <w:jc w:val="center"/>
              <w:rPr>
                <w:i/>
              </w:rPr>
            </w:pPr>
            <w:r w:rsidRPr="00347894">
              <w:rPr>
                <w:i/>
              </w:rPr>
              <w:t>Farm Bill</w:t>
            </w:r>
          </w:p>
        </w:tc>
        <w:tc>
          <w:tcPr>
            <w:tcW w:w="1890" w:type="dxa"/>
            <w:shd w:val="clear" w:color="auto" w:fill="F2F2F2" w:themeFill="background1" w:themeFillShade="F2"/>
            <w:vAlign w:val="center"/>
          </w:tcPr>
          <w:p w:rsidR="00ED7D71" w:rsidRPr="00347894" w:rsidRDefault="00ED7D71" w:rsidP="005F57D9">
            <w:pPr>
              <w:jc w:val="center"/>
              <w:rPr>
                <w:i/>
              </w:rPr>
            </w:pPr>
            <w:r w:rsidRPr="00347894">
              <w:rPr>
                <w:i/>
              </w:rPr>
              <w:t>CAPS</w:t>
            </w:r>
          </w:p>
        </w:tc>
        <w:tc>
          <w:tcPr>
            <w:tcW w:w="2268" w:type="dxa"/>
            <w:shd w:val="clear" w:color="auto" w:fill="F2F2F2" w:themeFill="background1" w:themeFillShade="F2"/>
            <w:vAlign w:val="center"/>
          </w:tcPr>
          <w:p w:rsidR="00ED7D71" w:rsidRPr="00347894" w:rsidRDefault="00ED7D71" w:rsidP="005F57D9">
            <w:pPr>
              <w:jc w:val="center"/>
              <w:rPr>
                <w:i/>
              </w:rPr>
            </w:pPr>
            <w:r w:rsidRPr="00347894">
              <w:rPr>
                <w:i/>
              </w:rPr>
              <w:t>Farm Bill</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Min</w:t>
            </w:r>
          </w:p>
        </w:tc>
        <w:tc>
          <w:tcPr>
            <w:tcW w:w="1974" w:type="dxa"/>
            <w:vAlign w:val="center"/>
          </w:tcPr>
          <w:p w:rsidR="00ED7D71" w:rsidRDefault="00ED7D71" w:rsidP="005F57D9">
            <w:pPr>
              <w:jc w:val="center"/>
            </w:pPr>
            <w:r>
              <w:t>1</w:t>
            </w:r>
          </w:p>
        </w:tc>
        <w:tc>
          <w:tcPr>
            <w:tcW w:w="2070" w:type="dxa"/>
            <w:vAlign w:val="center"/>
          </w:tcPr>
          <w:p w:rsidR="00ED7D71" w:rsidRDefault="00ED7D71" w:rsidP="005F57D9">
            <w:pPr>
              <w:jc w:val="center"/>
            </w:pPr>
            <w:r>
              <w:t>3</w:t>
            </w:r>
          </w:p>
        </w:tc>
        <w:tc>
          <w:tcPr>
            <w:tcW w:w="1890" w:type="dxa"/>
          </w:tcPr>
          <w:p w:rsidR="00ED7D71" w:rsidRDefault="00ED7D71" w:rsidP="005F57D9">
            <w:pPr>
              <w:jc w:val="center"/>
            </w:pPr>
            <w:r>
              <w:t>1</w:t>
            </w:r>
          </w:p>
        </w:tc>
        <w:tc>
          <w:tcPr>
            <w:tcW w:w="2268" w:type="dxa"/>
          </w:tcPr>
          <w:p w:rsidR="00ED7D71" w:rsidRDefault="00ED7D71" w:rsidP="005F57D9">
            <w:pPr>
              <w:jc w:val="center"/>
            </w:pPr>
            <w:r>
              <w:t>3</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Max</w:t>
            </w:r>
          </w:p>
        </w:tc>
        <w:tc>
          <w:tcPr>
            <w:tcW w:w="1974" w:type="dxa"/>
            <w:vAlign w:val="center"/>
          </w:tcPr>
          <w:p w:rsidR="00ED7D71" w:rsidRDefault="00ED7D71" w:rsidP="005F57D9">
            <w:pPr>
              <w:jc w:val="center"/>
            </w:pPr>
            <w:r>
              <w:t>150</w:t>
            </w:r>
          </w:p>
        </w:tc>
        <w:tc>
          <w:tcPr>
            <w:tcW w:w="2070" w:type="dxa"/>
            <w:vAlign w:val="center"/>
          </w:tcPr>
          <w:p w:rsidR="00ED7D71" w:rsidRDefault="00ED7D71" w:rsidP="005F57D9">
            <w:pPr>
              <w:jc w:val="center"/>
            </w:pPr>
            <w:r>
              <w:t>12</w:t>
            </w:r>
          </w:p>
        </w:tc>
        <w:tc>
          <w:tcPr>
            <w:tcW w:w="1890" w:type="dxa"/>
          </w:tcPr>
          <w:p w:rsidR="00ED7D71" w:rsidRDefault="00ED7D71" w:rsidP="005F57D9">
            <w:pPr>
              <w:jc w:val="center"/>
            </w:pPr>
            <w:r>
              <w:t>150</w:t>
            </w:r>
          </w:p>
        </w:tc>
        <w:tc>
          <w:tcPr>
            <w:tcW w:w="2268" w:type="dxa"/>
          </w:tcPr>
          <w:p w:rsidR="00ED7D71" w:rsidRDefault="00ED7D71" w:rsidP="005F57D9">
            <w:pPr>
              <w:jc w:val="center"/>
            </w:pPr>
            <w:r>
              <w:t>12</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Mean</w:t>
            </w:r>
            <w:r>
              <w:rPr>
                <w:i/>
              </w:rPr>
              <w:t>(±SEM)</w:t>
            </w:r>
          </w:p>
        </w:tc>
        <w:tc>
          <w:tcPr>
            <w:tcW w:w="1974" w:type="dxa"/>
            <w:vAlign w:val="center"/>
          </w:tcPr>
          <w:p w:rsidR="00ED7D71" w:rsidRDefault="00ED7D71" w:rsidP="005F57D9">
            <w:pPr>
              <w:jc w:val="center"/>
            </w:pPr>
            <w:r>
              <w:t xml:space="preserve">19.9 ± 5.6 </w:t>
            </w:r>
          </w:p>
        </w:tc>
        <w:tc>
          <w:tcPr>
            <w:tcW w:w="2070" w:type="dxa"/>
            <w:vAlign w:val="center"/>
          </w:tcPr>
          <w:p w:rsidR="00ED7D71" w:rsidRDefault="00ED7D71" w:rsidP="005F57D9">
            <w:pPr>
              <w:jc w:val="center"/>
            </w:pPr>
            <w:r>
              <w:t xml:space="preserve">8.4 ± 1.7 </w:t>
            </w:r>
          </w:p>
        </w:tc>
        <w:tc>
          <w:tcPr>
            <w:tcW w:w="1890" w:type="dxa"/>
            <w:vAlign w:val="center"/>
          </w:tcPr>
          <w:p w:rsidR="00ED7D71" w:rsidRDefault="00ED7D71" w:rsidP="00ED7D71">
            <w:pPr>
              <w:jc w:val="center"/>
            </w:pPr>
            <w:r>
              <w:t xml:space="preserve">20.2 ± 5.9 </w:t>
            </w:r>
          </w:p>
        </w:tc>
        <w:tc>
          <w:tcPr>
            <w:tcW w:w="2268" w:type="dxa"/>
            <w:vAlign w:val="center"/>
          </w:tcPr>
          <w:p w:rsidR="00ED7D71" w:rsidRDefault="00E55EB1" w:rsidP="00ED7D71">
            <w:pPr>
              <w:jc w:val="center"/>
            </w:pPr>
            <w:r>
              <w:t xml:space="preserve">7.3 </w:t>
            </w:r>
            <w:r w:rsidR="00ED7D71">
              <w:t>±</w:t>
            </w:r>
            <w:r>
              <w:t xml:space="preserve"> 2.6</w:t>
            </w:r>
            <w:r w:rsidR="00ED7D71">
              <w:t xml:space="preserve"> </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Median</w:t>
            </w:r>
          </w:p>
        </w:tc>
        <w:tc>
          <w:tcPr>
            <w:tcW w:w="1974" w:type="dxa"/>
            <w:vAlign w:val="center"/>
          </w:tcPr>
          <w:p w:rsidR="00ED7D71" w:rsidRDefault="00ED7D71" w:rsidP="005F57D9">
            <w:pPr>
              <w:jc w:val="center"/>
            </w:pPr>
            <w:r>
              <w:t>9</w:t>
            </w:r>
          </w:p>
        </w:tc>
        <w:tc>
          <w:tcPr>
            <w:tcW w:w="2070" w:type="dxa"/>
            <w:vAlign w:val="center"/>
          </w:tcPr>
          <w:p w:rsidR="00ED7D71" w:rsidRDefault="00ED7D71" w:rsidP="005F57D9">
            <w:pPr>
              <w:jc w:val="center"/>
            </w:pPr>
            <w:r>
              <w:t>8</w:t>
            </w:r>
          </w:p>
        </w:tc>
        <w:tc>
          <w:tcPr>
            <w:tcW w:w="1890" w:type="dxa"/>
          </w:tcPr>
          <w:p w:rsidR="00ED7D71" w:rsidRDefault="00ED7D71" w:rsidP="005F57D9">
            <w:pPr>
              <w:jc w:val="center"/>
            </w:pPr>
            <w:r>
              <w:t>9</w:t>
            </w:r>
          </w:p>
        </w:tc>
        <w:tc>
          <w:tcPr>
            <w:tcW w:w="2268" w:type="dxa"/>
          </w:tcPr>
          <w:p w:rsidR="00ED7D71" w:rsidRDefault="00E55EB1" w:rsidP="005F57D9">
            <w:pPr>
              <w:jc w:val="center"/>
            </w:pPr>
            <w:r>
              <w:t>7</w:t>
            </w:r>
          </w:p>
        </w:tc>
      </w:tr>
      <w:tr w:rsidR="00ED7D71" w:rsidTr="005F57D9">
        <w:tc>
          <w:tcPr>
            <w:tcW w:w="1374" w:type="dxa"/>
            <w:shd w:val="clear" w:color="auto" w:fill="F2F2F2" w:themeFill="background1" w:themeFillShade="F2"/>
            <w:vAlign w:val="center"/>
          </w:tcPr>
          <w:p w:rsidR="00ED7D71" w:rsidRPr="00347894" w:rsidRDefault="00ED7D71" w:rsidP="005F57D9">
            <w:pPr>
              <w:jc w:val="center"/>
              <w:rPr>
                <w:i/>
              </w:rPr>
            </w:pPr>
            <w:r w:rsidRPr="00347894">
              <w:rPr>
                <w:i/>
              </w:rPr>
              <w:t>Mode</w:t>
            </w:r>
          </w:p>
        </w:tc>
        <w:tc>
          <w:tcPr>
            <w:tcW w:w="1974" w:type="dxa"/>
            <w:vAlign w:val="center"/>
          </w:tcPr>
          <w:p w:rsidR="00ED7D71" w:rsidRDefault="00ED7D71" w:rsidP="005F57D9">
            <w:pPr>
              <w:jc w:val="center"/>
            </w:pPr>
            <w:r>
              <w:t>8</w:t>
            </w:r>
          </w:p>
        </w:tc>
        <w:tc>
          <w:tcPr>
            <w:tcW w:w="2070" w:type="dxa"/>
            <w:vAlign w:val="center"/>
          </w:tcPr>
          <w:p w:rsidR="00ED7D71" w:rsidRDefault="00ED7D71" w:rsidP="005F57D9">
            <w:pPr>
              <w:jc w:val="center"/>
            </w:pPr>
            <w:r>
              <w:t>12</w:t>
            </w:r>
          </w:p>
        </w:tc>
        <w:tc>
          <w:tcPr>
            <w:tcW w:w="1890" w:type="dxa"/>
          </w:tcPr>
          <w:p w:rsidR="00ED7D71" w:rsidRDefault="00ED7D71" w:rsidP="005F57D9">
            <w:pPr>
              <w:jc w:val="center"/>
            </w:pPr>
            <w:r>
              <w:t>8</w:t>
            </w:r>
          </w:p>
        </w:tc>
        <w:tc>
          <w:tcPr>
            <w:tcW w:w="2268" w:type="dxa"/>
          </w:tcPr>
          <w:p w:rsidR="00ED7D71" w:rsidRDefault="00E55EB1" w:rsidP="005F57D9">
            <w:pPr>
              <w:jc w:val="center"/>
            </w:pPr>
            <w:r>
              <w:t>---</w:t>
            </w:r>
          </w:p>
        </w:tc>
      </w:tr>
    </w:tbl>
    <w:p w:rsidR="00ED7D71" w:rsidRDefault="00ED7D71" w:rsidP="00347894"/>
    <w:p w:rsidR="00347894" w:rsidRDefault="00E55EB1" w:rsidP="00347894">
      <w:r>
        <w:t>In general, there appear to be slightly more visits to each site as captured in CAPS studies. Again, this is likely an artifact of the low representation of Farm Bill EWBB surveys.</w:t>
      </w:r>
    </w:p>
    <w:p w:rsidR="00E55EB1" w:rsidRDefault="00E55EB1" w:rsidP="00347894"/>
    <w:p w:rsidR="005F57D9" w:rsidRDefault="005F57D9">
      <w:r>
        <w:br w:type="page"/>
      </w:r>
    </w:p>
    <w:p w:rsidR="00347894" w:rsidRDefault="00347894" w:rsidP="00347894">
      <w:r>
        <w:lastRenderedPageBreak/>
        <w:t>Table 5: Comparisons of cost per target * site *visit between CAPS and Farm Bill EWBB Surveys</w:t>
      </w:r>
    </w:p>
    <w:tbl>
      <w:tblPr>
        <w:tblStyle w:val="TableGrid"/>
        <w:tblW w:w="0" w:type="auto"/>
        <w:tblLook w:val="04A0" w:firstRow="1" w:lastRow="0" w:firstColumn="1" w:lastColumn="0" w:noHBand="0" w:noVBand="1"/>
      </w:tblPr>
      <w:tblGrid>
        <w:gridCol w:w="1374"/>
        <w:gridCol w:w="1974"/>
        <w:gridCol w:w="2070"/>
        <w:gridCol w:w="1890"/>
        <w:gridCol w:w="2268"/>
      </w:tblGrid>
      <w:tr w:rsidR="00E55EB1" w:rsidTr="005F57D9">
        <w:tc>
          <w:tcPr>
            <w:tcW w:w="1374" w:type="dxa"/>
            <w:vMerge w:val="restart"/>
            <w:shd w:val="clear" w:color="auto" w:fill="F2F2F2" w:themeFill="background1" w:themeFillShade="F2"/>
            <w:vAlign w:val="center"/>
          </w:tcPr>
          <w:p w:rsidR="00E55EB1" w:rsidRDefault="00E55EB1" w:rsidP="005F57D9">
            <w:pPr>
              <w:jc w:val="center"/>
            </w:pPr>
          </w:p>
        </w:tc>
        <w:tc>
          <w:tcPr>
            <w:tcW w:w="4044" w:type="dxa"/>
            <w:gridSpan w:val="2"/>
            <w:shd w:val="clear" w:color="auto" w:fill="F2F2F2" w:themeFill="background1" w:themeFillShade="F2"/>
            <w:vAlign w:val="center"/>
          </w:tcPr>
          <w:p w:rsidR="00E55EB1" w:rsidRPr="00347894" w:rsidRDefault="00E55EB1" w:rsidP="005F57D9">
            <w:pPr>
              <w:jc w:val="center"/>
              <w:rPr>
                <w:b/>
              </w:rPr>
            </w:pPr>
            <w:r>
              <w:rPr>
                <w:b/>
              </w:rPr>
              <w:t>Cost / Target * Site *Visit w/ CA</w:t>
            </w:r>
          </w:p>
        </w:tc>
        <w:tc>
          <w:tcPr>
            <w:tcW w:w="4158" w:type="dxa"/>
            <w:gridSpan w:val="2"/>
            <w:shd w:val="clear" w:color="auto" w:fill="F2F2F2" w:themeFill="background1" w:themeFillShade="F2"/>
          </w:tcPr>
          <w:p w:rsidR="00E55EB1" w:rsidRDefault="00E55EB1" w:rsidP="005F57D9">
            <w:pPr>
              <w:jc w:val="center"/>
              <w:rPr>
                <w:b/>
              </w:rPr>
            </w:pPr>
            <w:r>
              <w:rPr>
                <w:b/>
              </w:rPr>
              <w:t>Cost / Target * Site *Visit w/o CA</w:t>
            </w:r>
          </w:p>
        </w:tc>
      </w:tr>
      <w:tr w:rsidR="00E55EB1" w:rsidRPr="00347894" w:rsidTr="005F57D9">
        <w:tc>
          <w:tcPr>
            <w:tcW w:w="1374" w:type="dxa"/>
            <w:vMerge/>
            <w:shd w:val="clear" w:color="auto" w:fill="F2F2F2" w:themeFill="background1" w:themeFillShade="F2"/>
            <w:vAlign w:val="center"/>
          </w:tcPr>
          <w:p w:rsidR="00E55EB1" w:rsidRDefault="00E55EB1" w:rsidP="005F57D9">
            <w:pPr>
              <w:jc w:val="center"/>
            </w:pPr>
          </w:p>
        </w:tc>
        <w:tc>
          <w:tcPr>
            <w:tcW w:w="1974" w:type="dxa"/>
            <w:shd w:val="clear" w:color="auto" w:fill="F2F2F2" w:themeFill="background1" w:themeFillShade="F2"/>
            <w:vAlign w:val="center"/>
          </w:tcPr>
          <w:p w:rsidR="00E55EB1" w:rsidRPr="00347894" w:rsidRDefault="00E55EB1" w:rsidP="005F57D9">
            <w:pPr>
              <w:jc w:val="center"/>
              <w:rPr>
                <w:i/>
              </w:rPr>
            </w:pPr>
            <w:r w:rsidRPr="00347894">
              <w:rPr>
                <w:i/>
              </w:rPr>
              <w:t>CAPS</w:t>
            </w:r>
          </w:p>
        </w:tc>
        <w:tc>
          <w:tcPr>
            <w:tcW w:w="2070" w:type="dxa"/>
            <w:shd w:val="clear" w:color="auto" w:fill="F2F2F2" w:themeFill="background1" w:themeFillShade="F2"/>
            <w:vAlign w:val="center"/>
          </w:tcPr>
          <w:p w:rsidR="00E55EB1" w:rsidRPr="00347894" w:rsidRDefault="00E55EB1" w:rsidP="005F57D9">
            <w:pPr>
              <w:jc w:val="center"/>
              <w:rPr>
                <w:i/>
              </w:rPr>
            </w:pPr>
            <w:r w:rsidRPr="00347894">
              <w:rPr>
                <w:i/>
              </w:rPr>
              <w:t>Farm Bill</w:t>
            </w:r>
          </w:p>
        </w:tc>
        <w:tc>
          <w:tcPr>
            <w:tcW w:w="1890" w:type="dxa"/>
            <w:shd w:val="clear" w:color="auto" w:fill="F2F2F2" w:themeFill="background1" w:themeFillShade="F2"/>
            <w:vAlign w:val="center"/>
          </w:tcPr>
          <w:p w:rsidR="00E55EB1" w:rsidRPr="00347894" w:rsidRDefault="00E55EB1" w:rsidP="005F57D9">
            <w:pPr>
              <w:jc w:val="center"/>
              <w:rPr>
                <w:i/>
              </w:rPr>
            </w:pPr>
            <w:r w:rsidRPr="00347894">
              <w:rPr>
                <w:i/>
              </w:rPr>
              <w:t>CAPS</w:t>
            </w:r>
          </w:p>
        </w:tc>
        <w:tc>
          <w:tcPr>
            <w:tcW w:w="2268" w:type="dxa"/>
            <w:shd w:val="clear" w:color="auto" w:fill="F2F2F2" w:themeFill="background1" w:themeFillShade="F2"/>
            <w:vAlign w:val="center"/>
          </w:tcPr>
          <w:p w:rsidR="00E55EB1" w:rsidRPr="00347894" w:rsidRDefault="00E55EB1" w:rsidP="005F57D9">
            <w:pPr>
              <w:jc w:val="center"/>
              <w:rPr>
                <w:i/>
              </w:rPr>
            </w:pPr>
            <w:r w:rsidRPr="00347894">
              <w:rPr>
                <w:i/>
              </w:rPr>
              <w:t>Farm Bill</w:t>
            </w:r>
          </w:p>
        </w:tc>
      </w:tr>
      <w:tr w:rsidR="00E55EB1" w:rsidTr="005F57D9">
        <w:tc>
          <w:tcPr>
            <w:tcW w:w="1374" w:type="dxa"/>
            <w:shd w:val="clear" w:color="auto" w:fill="F2F2F2" w:themeFill="background1" w:themeFillShade="F2"/>
            <w:vAlign w:val="center"/>
          </w:tcPr>
          <w:p w:rsidR="00E55EB1" w:rsidRPr="00347894" w:rsidRDefault="00E55EB1" w:rsidP="005F57D9">
            <w:pPr>
              <w:jc w:val="center"/>
              <w:rPr>
                <w:i/>
              </w:rPr>
            </w:pPr>
            <w:r w:rsidRPr="00347894">
              <w:rPr>
                <w:i/>
              </w:rPr>
              <w:t>Min</w:t>
            </w:r>
          </w:p>
        </w:tc>
        <w:tc>
          <w:tcPr>
            <w:tcW w:w="1974" w:type="dxa"/>
            <w:vAlign w:val="center"/>
          </w:tcPr>
          <w:p w:rsidR="00E55EB1" w:rsidRDefault="00E55EB1" w:rsidP="005F57D9">
            <w:pPr>
              <w:jc w:val="center"/>
            </w:pPr>
            <w:r>
              <w:t>$0.18</w:t>
            </w:r>
          </w:p>
        </w:tc>
        <w:tc>
          <w:tcPr>
            <w:tcW w:w="2070" w:type="dxa"/>
            <w:vAlign w:val="center"/>
          </w:tcPr>
          <w:p w:rsidR="00E55EB1" w:rsidRDefault="00E55EB1" w:rsidP="005F57D9">
            <w:pPr>
              <w:jc w:val="center"/>
            </w:pPr>
            <w:r>
              <w:t>$8.68</w:t>
            </w:r>
          </w:p>
        </w:tc>
        <w:tc>
          <w:tcPr>
            <w:tcW w:w="1890" w:type="dxa"/>
          </w:tcPr>
          <w:p w:rsidR="00E55EB1" w:rsidRDefault="00E55EB1" w:rsidP="00E55EB1">
            <w:pPr>
              <w:jc w:val="center"/>
            </w:pPr>
            <w:r>
              <w:t>$0.18</w:t>
            </w:r>
          </w:p>
        </w:tc>
        <w:tc>
          <w:tcPr>
            <w:tcW w:w="2268" w:type="dxa"/>
          </w:tcPr>
          <w:p w:rsidR="00E55EB1" w:rsidRDefault="00E55EB1" w:rsidP="005F57D9">
            <w:pPr>
              <w:jc w:val="center"/>
            </w:pPr>
            <w:r>
              <w:t>$41.15</w:t>
            </w:r>
          </w:p>
        </w:tc>
      </w:tr>
      <w:tr w:rsidR="00E55EB1" w:rsidTr="005F57D9">
        <w:tc>
          <w:tcPr>
            <w:tcW w:w="1374" w:type="dxa"/>
            <w:shd w:val="clear" w:color="auto" w:fill="F2F2F2" w:themeFill="background1" w:themeFillShade="F2"/>
            <w:vAlign w:val="center"/>
          </w:tcPr>
          <w:p w:rsidR="00E55EB1" w:rsidRPr="00347894" w:rsidRDefault="00E55EB1" w:rsidP="005F57D9">
            <w:pPr>
              <w:jc w:val="center"/>
              <w:rPr>
                <w:i/>
              </w:rPr>
            </w:pPr>
            <w:r w:rsidRPr="00347894">
              <w:rPr>
                <w:i/>
              </w:rPr>
              <w:t>Max</w:t>
            </w:r>
          </w:p>
        </w:tc>
        <w:tc>
          <w:tcPr>
            <w:tcW w:w="1974" w:type="dxa"/>
            <w:vAlign w:val="center"/>
          </w:tcPr>
          <w:p w:rsidR="00E55EB1" w:rsidRDefault="00E55EB1" w:rsidP="005F57D9">
            <w:pPr>
              <w:jc w:val="center"/>
            </w:pPr>
            <w:r>
              <w:t>$325.89</w:t>
            </w:r>
          </w:p>
        </w:tc>
        <w:tc>
          <w:tcPr>
            <w:tcW w:w="2070" w:type="dxa"/>
            <w:vAlign w:val="center"/>
          </w:tcPr>
          <w:p w:rsidR="00E55EB1" w:rsidRDefault="00E55EB1" w:rsidP="005F57D9">
            <w:pPr>
              <w:jc w:val="center"/>
            </w:pPr>
            <w:r>
              <w:t>$59.53</w:t>
            </w:r>
          </w:p>
        </w:tc>
        <w:tc>
          <w:tcPr>
            <w:tcW w:w="1890" w:type="dxa"/>
          </w:tcPr>
          <w:p w:rsidR="00E55EB1" w:rsidRDefault="00E55EB1" w:rsidP="005F57D9">
            <w:pPr>
              <w:jc w:val="center"/>
            </w:pPr>
            <w:r>
              <w:t>$325.89</w:t>
            </w:r>
          </w:p>
        </w:tc>
        <w:tc>
          <w:tcPr>
            <w:tcW w:w="2268" w:type="dxa"/>
          </w:tcPr>
          <w:p w:rsidR="00E55EB1" w:rsidRDefault="00E55EB1" w:rsidP="005F57D9">
            <w:pPr>
              <w:jc w:val="center"/>
            </w:pPr>
            <w:r>
              <w:t>$59.53</w:t>
            </w:r>
          </w:p>
        </w:tc>
      </w:tr>
      <w:tr w:rsidR="00E55EB1" w:rsidTr="005F57D9">
        <w:tc>
          <w:tcPr>
            <w:tcW w:w="1374" w:type="dxa"/>
            <w:shd w:val="clear" w:color="auto" w:fill="F2F2F2" w:themeFill="background1" w:themeFillShade="F2"/>
            <w:vAlign w:val="center"/>
          </w:tcPr>
          <w:p w:rsidR="00E55EB1" w:rsidRPr="00347894" w:rsidRDefault="00E55EB1" w:rsidP="005F57D9">
            <w:pPr>
              <w:jc w:val="center"/>
              <w:rPr>
                <w:i/>
              </w:rPr>
            </w:pPr>
            <w:r w:rsidRPr="00347894">
              <w:rPr>
                <w:i/>
              </w:rPr>
              <w:t>Mean</w:t>
            </w:r>
            <w:r>
              <w:rPr>
                <w:i/>
              </w:rPr>
              <w:t>(±SEM)</w:t>
            </w:r>
          </w:p>
        </w:tc>
        <w:tc>
          <w:tcPr>
            <w:tcW w:w="1974" w:type="dxa"/>
            <w:vAlign w:val="center"/>
          </w:tcPr>
          <w:p w:rsidR="00E55EB1" w:rsidRDefault="00E55EB1" w:rsidP="005F57D9">
            <w:pPr>
              <w:jc w:val="center"/>
            </w:pPr>
            <w:r>
              <w:t xml:space="preserve">$34.82 ± $10.44 </w:t>
            </w:r>
          </w:p>
        </w:tc>
        <w:tc>
          <w:tcPr>
            <w:tcW w:w="2070" w:type="dxa"/>
            <w:vAlign w:val="center"/>
          </w:tcPr>
          <w:p w:rsidR="00E55EB1" w:rsidRDefault="00E55EB1" w:rsidP="005F57D9">
            <w:pPr>
              <w:jc w:val="center"/>
            </w:pPr>
            <w:r>
              <w:t xml:space="preserve">$ 35.13± $9.14 </w:t>
            </w:r>
          </w:p>
        </w:tc>
        <w:tc>
          <w:tcPr>
            <w:tcW w:w="1890" w:type="dxa"/>
            <w:vAlign w:val="center"/>
          </w:tcPr>
          <w:p w:rsidR="00E55EB1" w:rsidRDefault="00E55EB1" w:rsidP="00E55EB1">
            <w:pPr>
              <w:jc w:val="center"/>
            </w:pPr>
            <w:r>
              <w:t>$36.45 ± $10.96</w:t>
            </w:r>
          </w:p>
        </w:tc>
        <w:tc>
          <w:tcPr>
            <w:tcW w:w="2268" w:type="dxa"/>
            <w:vAlign w:val="center"/>
          </w:tcPr>
          <w:p w:rsidR="00E55EB1" w:rsidRDefault="00E55EB1" w:rsidP="00E55EB1">
            <w:pPr>
              <w:jc w:val="center"/>
            </w:pPr>
            <w:r>
              <w:t xml:space="preserve">$48.90 ± $5.50 </w:t>
            </w:r>
          </w:p>
        </w:tc>
      </w:tr>
      <w:tr w:rsidR="00E55EB1" w:rsidTr="005F57D9">
        <w:tc>
          <w:tcPr>
            <w:tcW w:w="1374" w:type="dxa"/>
            <w:shd w:val="clear" w:color="auto" w:fill="F2F2F2" w:themeFill="background1" w:themeFillShade="F2"/>
            <w:vAlign w:val="center"/>
          </w:tcPr>
          <w:p w:rsidR="00E55EB1" w:rsidRPr="00347894" w:rsidRDefault="00E55EB1" w:rsidP="005F57D9">
            <w:pPr>
              <w:jc w:val="center"/>
              <w:rPr>
                <w:i/>
              </w:rPr>
            </w:pPr>
            <w:r w:rsidRPr="00347894">
              <w:rPr>
                <w:i/>
              </w:rPr>
              <w:t>Median</w:t>
            </w:r>
          </w:p>
        </w:tc>
        <w:tc>
          <w:tcPr>
            <w:tcW w:w="1974" w:type="dxa"/>
            <w:vAlign w:val="center"/>
          </w:tcPr>
          <w:p w:rsidR="00E55EB1" w:rsidRDefault="00E55EB1" w:rsidP="005F57D9">
            <w:pPr>
              <w:jc w:val="center"/>
            </w:pPr>
            <w:r>
              <w:t>$16.26</w:t>
            </w:r>
          </w:p>
        </w:tc>
        <w:tc>
          <w:tcPr>
            <w:tcW w:w="2070" w:type="dxa"/>
            <w:vAlign w:val="center"/>
          </w:tcPr>
          <w:p w:rsidR="00E55EB1" w:rsidRDefault="00E55EB1" w:rsidP="005F57D9">
            <w:pPr>
              <w:jc w:val="center"/>
            </w:pPr>
            <w:r>
              <w:t>$41.15</w:t>
            </w:r>
          </w:p>
        </w:tc>
        <w:tc>
          <w:tcPr>
            <w:tcW w:w="1890" w:type="dxa"/>
          </w:tcPr>
          <w:p w:rsidR="00E55EB1" w:rsidRDefault="00E55EB1" w:rsidP="005F57D9">
            <w:pPr>
              <w:jc w:val="center"/>
            </w:pPr>
            <w:r>
              <w:t>$16.52</w:t>
            </w:r>
          </w:p>
        </w:tc>
        <w:tc>
          <w:tcPr>
            <w:tcW w:w="2268" w:type="dxa"/>
          </w:tcPr>
          <w:p w:rsidR="00E55EB1" w:rsidRDefault="00E55EB1" w:rsidP="005F57D9">
            <w:pPr>
              <w:jc w:val="center"/>
            </w:pPr>
            <w:r>
              <w:t>$46.01</w:t>
            </w:r>
          </w:p>
        </w:tc>
      </w:tr>
      <w:tr w:rsidR="00E55EB1" w:rsidTr="005F57D9">
        <w:tc>
          <w:tcPr>
            <w:tcW w:w="1374" w:type="dxa"/>
            <w:shd w:val="clear" w:color="auto" w:fill="F2F2F2" w:themeFill="background1" w:themeFillShade="F2"/>
            <w:vAlign w:val="center"/>
          </w:tcPr>
          <w:p w:rsidR="00E55EB1" w:rsidRPr="00347894" w:rsidRDefault="00E55EB1" w:rsidP="005F57D9">
            <w:pPr>
              <w:jc w:val="center"/>
              <w:rPr>
                <w:i/>
              </w:rPr>
            </w:pPr>
            <w:r w:rsidRPr="00347894">
              <w:rPr>
                <w:i/>
              </w:rPr>
              <w:t>Mode</w:t>
            </w:r>
          </w:p>
        </w:tc>
        <w:tc>
          <w:tcPr>
            <w:tcW w:w="1974" w:type="dxa"/>
            <w:vAlign w:val="center"/>
          </w:tcPr>
          <w:p w:rsidR="00E55EB1" w:rsidRDefault="00E55EB1" w:rsidP="005F57D9">
            <w:pPr>
              <w:jc w:val="center"/>
            </w:pPr>
            <w:r>
              <w:t>$10.08</w:t>
            </w:r>
          </w:p>
        </w:tc>
        <w:tc>
          <w:tcPr>
            <w:tcW w:w="2070" w:type="dxa"/>
            <w:vAlign w:val="center"/>
          </w:tcPr>
          <w:p w:rsidR="00E55EB1" w:rsidRDefault="00E55EB1" w:rsidP="005F57D9">
            <w:pPr>
              <w:jc w:val="center"/>
            </w:pPr>
            <w:r>
              <w:t>---</w:t>
            </w:r>
          </w:p>
        </w:tc>
        <w:tc>
          <w:tcPr>
            <w:tcW w:w="1890" w:type="dxa"/>
          </w:tcPr>
          <w:p w:rsidR="00E55EB1" w:rsidRDefault="00E55EB1" w:rsidP="005F57D9">
            <w:pPr>
              <w:jc w:val="center"/>
            </w:pPr>
            <w:r>
              <w:t>$10.08</w:t>
            </w:r>
          </w:p>
        </w:tc>
        <w:tc>
          <w:tcPr>
            <w:tcW w:w="2268" w:type="dxa"/>
          </w:tcPr>
          <w:p w:rsidR="00E55EB1" w:rsidRDefault="00E55EB1" w:rsidP="005F57D9">
            <w:pPr>
              <w:jc w:val="center"/>
            </w:pPr>
            <w:r>
              <w:t>---</w:t>
            </w:r>
          </w:p>
        </w:tc>
      </w:tr>
    </w:tbl>
    <w:p w:rsidR="00E55EB1" w:rsidRDefault="00E55EB1" w:rsidP="00347894"/>
    <w:p w:rsidR="00E55EB1" w:rsidRDefault="00E55EB1" w:rsidP="00347894">
      <w:r>
        <w:t>The costs per target * site * visit were remarkably similar between the CAPS and Farm Bill funded EWBB surveys. CAPS funded surveys may trend towards slightly lower costs, but these are being skewed this direction by states with extremely low survey costs. It is possible that these costs for the survey do not capture all of the real costs.</w:t>
      </w:r>
    </w:p>
    <w:p w:rsidR="005F57D9" w:rsidRDefault="005F57D9" w:rsidP="00347894"/>
    <w:p w:rsidR="00E55EB1" w:rsidRDefault="00E55EB1">
      <w:r>
        <w:t>Table 6: Targets Occurring in Both CAPS and Farm Bill EWBB Surveys</w:t>
      </w:r>
    </w:p>
    <w:tbl>
      <w:tblPr>
        <w:tblStyle w:val="TableGrid"/>
        <w:tblW w:w="0" w:type="auto"/>
        <w:tblLayout w:type="fixed"/>
        <w:tblLook w:val="04A0" w:firstRow="1" w:lastRow="0" w:firstColumn="1" w:lastColumn="0" w:noHBand="0" w:noVBand="1"/>
      </w:tblPr>
      <w:tblGrid>
        <w:gridCol w:w="2986"/>
        <w:gridCol w:w="4862"/>
      </w:tblGrid>
      <w:tr w:rsidR="00E55EB1" w:rsidTr="00E55EB1">
        <w:tc>
          <w:tcPr>
            <w:tcW w:w="2986" w:type="dxa"/>
            <w:shd w:val="clear" w:color="auto" w:fill="F2F2F2" w:themeFill="background1" w:themeFillShade="F2"/>
          </w:tcPr>
          <w:p w:rsidR="00E55EB1" w:rsidRPr="00E55EB1" w:rsidRDefault="00E55EB1">
            <w:pPr>
              <w:rPr>
                <w:b/>
              </w:rPr>
            </w:pPr>
            <w:r w:rsidRPr="00E55EB1">
              <w:rPr>
                <w:b/>
              </w:rPr>
              <w:t>Scientific Name</w:t>
            </w:r>
          </w:p>
        </w:tc>
        <w:tc>
          <w:tcPr>
            <w:tcW w:w="4862" w:type="dxa"/>
            <w:shd w:val="clear" w:color="auto" w:fill="F2F2F2" w:themeFill="background1" w:themeFillShade="F2"/>
          </w:tcPr>
          <w:p w:rsidR="00E55EB1" w:rsidRPr="00E55EB1" w:rsidRDefault="00E55EB1">
            <w:pPr>
              <w:rPr>
                <w:b/>
              </w:rPr>
            </w:pPr>
            <w:r w:rsidRPr="00E55EB1">
              <w:rPr>
                <w:b/>
              </w:rPr>
              <w:t>Common Name</w:t>
            </w:r>
          </w:p>
        </w:tc>
      </w:tr>
      <w:tr w:rsidR="00E55EB1" w:rsidTr="00E55EB1">
        <w:tc>
          <w:tcPr>
            <w:tcW w:w="2986" w:type="dxa"/>
          </w:tcPr>
          <w:tbl>
            <w:tblPr>
              <w:tblW w:w="3320" w:type="dxa"/>
              <w:tblLayout w:type="fixed"/>
              <w:tblLook w:val="04A0" w:firstRow="1" w:lastRow="0" w:firstColumn="1" w:lastColumn="0" w:noHBand="0" w:noVBand="1"/>
            </w:tblPr>
            <w:tblGrid>
              <w:gridCol w:w="3320"/>
            </w:tblGrid>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Agrilus auroguttatus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Agrilus biguttatus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Chlorophorus strobilicola</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Hylurgops palliatus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Monochamus sutor</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Monochamus urussovii</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Pityogenes chalcographus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Tomicus minor</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Agrilus planipennis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Hylurgus ligniperda</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Platypus quercivorus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Tetropium castaneum</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Tetropium fuscum</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Xyleborus glabratus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Hylobius abietis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Orthotomicus erosus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Tomicus piniperda</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Trypodendron domesticum</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Tomicus destruens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Ips sexdentatus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Ips typographus</w:t>
                  </w:r>
                </w:p>
              </w:tc>
            </w:tr>
            <w:tr w:rsidR="00E55EB1" w:rsidRPr="00E55EB1" w:rsidTr="00E55EB1">
              <w:trPr>
                <w:trHeight w:val="300"/>
              </w:trPr>
              <w:tc>
                <w:tcPr>
                  <w:tcW w:w="3320" w:type="dxa"/>
                  <w:tcBorders>
                    <w:top w:val="nil"/>
                    <w:left w:val="nil"/>
                    <w:bottom w:val="nil"/>
                    <w:right w:val="nil"/>
                  </w:tcBorders>
                  <w:shd w:val="clear" w:color="auto" w:fill="auto"/>
                  <w:noWrap/>
                  <w:vAlign w:val="bottom"/>
                  <w:hideMark/>
                </w:tcPr>
                <w:p w:rsidR="00E55EB1" w:rsidRPr="00E55EB1" w:rsidRDefault="00E55EB1" w:rsidP="00E55EB1">
                  <w:pPr>
                    <w:spacing w:after="0" w:line="240" w:lineRule="auto"/>
                    <w:rPr>
                      <w:rFonts w:ascii="Calibri" w:eastAsia="Times New Roman" w:hAnsi="Calibri" w:cs="Times New Roman"/>
                      <w:i/>
                      <w:color w:val="000000"/>
                    </w:rPr>
                  </w:pPr>
                  <w:r w:rsidRPr="00E55EB1">
                    <w:rPr>
                      <w:rFonts w:ascii="Calibri" w:eastAsia="Times New Roman" w:hAnsi="Calibri" w:cs="Times New Roman"/>
                      <w:i/>
                      <w:color w:val="000000"/>
                    </w:rPr>
                    <w:t>Monochamus alternatus</w:t>
                  </w:r>
                </w:p>
              </w:tc>
            </w:tr>
          </w:tbl>
          <w:p w:rsidR="00E55EB1" w:rsidRDefault="00E55EB1"/>
        </w:tc>
        <w:tc>
          <w:tcPr>
            <w:tcW w:w="4862" w:type="dxa"/>
          </w:tcPr>
          <w:tbl>
            <w:tblPr>
              <w:tblW w:w="7700" w:type="dxa"/>
              <w:tblLayout w:type="fixed"/>
              <w:tblLook w:val="04A0" w:firstRow="1" w:lastRow="0" w:firstColumn="1" w:lastColumn="0" w:noHBand="0" w:noVBand="1"/>
            </w:tblPr>
            <w:tblGrid>
              <w:gridCol w:w="7700"/>
            </w:tblGrid>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Goldspotted Oak Borer</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Oak Splendour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Slender-Banded Pinecone Longhorn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Lesser Spruce Shoot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Small White-marmorated Longhorned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Black Fir Sawyer</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Sixtoothed Spruce Bark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Lesser Pine Shoot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Emerald Ash Borer</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Redhaired Pine Bark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Oak Ambrosia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Black Spruce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Brown Spruce Longhorned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Redbay Ambrosia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Large Pine Weevil</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Mediterranean Pine Engraver</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Pine Shoot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European Hardwood Ambrosia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Pine Shoot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Sixtoothed Bark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European Spruce Bark Beetle</w:t>
                  </w:r>
                </w:p>
              </w:tc>
            </w:tr>
            <w:tr w:rsidR="00E55EB1" w:rsidRPr="00E55EB1" w:rsidTr="00E55EB1">
              <w:trPr>
                <w:trHeight w:val="300"/>
              </w:trPr>
              <w:tc>
                <w:tcPr>
                  <w:tcW w:w="4380" w:type="dxa"/>
                  <w:tcBorders>
                    <w:top w:val="nil"/>
                    <w:left w:val="nil"/>
                    <w:bottom w:val="nil"/>
                    <w:right w:val="nil"/>
                  </w:tcBorders>
                  <w:shd w:val="clear" w:color="auto" w:fill="auto"/>
                  <w:noWrap/>
                  <w:vAlign w:val="bottom"/>
                  <w:hideMark/>
                </w:tcPr>
                <w:p w:rsidR="00E55EB1" w:rsidRPr="00E55EB1" w:rsidRDefault="00E55EB1" w:rsidP="005F57D9">
                  <w:pPr>
                    <w:spacing w:after="0" w:line="240" w:lineRule="auto"/>
                    <w:rPr>
                      <w:rFonts w:ascii="Calibri" w:eastAsia="Times New Roman" w:hAnsi="Calibri" w:cs="Times New Roman"/>
                      <w:color w:val="000000"/>
                    </w:rPr>
                  </w:pPr>
                  <w:r w:rsidRPr="00E55EB1">
                    <w:rPr>
                      <w:rFonts w:ascii="Calibri" w:eastAsia="Times New Roman" w:hAnsi="Calibri" w:cs="Times New Roman"/>
                      <w:color w:val="000000"/>
                    </w:rPr>
                    <w:t>Japanese Pine Sawyer</w:t>
                  </w:r>
                </w:p>
              </w:tc>
            </w:tr>
          </w:tbl>
          <w:p w:rsidR="00E55EB1" w:rsidRDefault="00E55EB1"/>
        </w:tc>
      </w:tr>
    </w:tbl>
    <w:p w:rsidR="005F57D9" w:rsidRDefault="005F57D9" w:rsidP="00E55EB1"/>
    <w:p w:rsidR="00E55EB1" w:rsidRDefault="00E55EB1" w:rsidP="00E55EB1">
      <w:r>
        <w:lastRenderedPageBreak/>
        <w:t>Table 7: Targets Occurring in CAPS but not Farm Bill-funded EWBB Surveys, and the Percentage of States with a CAPS-funded EWBB Survey Including the Target</w:t>
      </w:r>
    </w:p>
    <w:p w:rsidR="00063406" w:rsidRDefault="00063406"/>
    <w:tbl>
      <w:tblPr>
        <w:tblStyle w:val="TableGrid"/>
        <w:tblW w:w="0" w:type="auto"/>
        <w:tblLook w:val="04A0" w:firstRow="1" w:lastRow="0" w:firstColumn="1" w:lastColumn="0" w:noHBand="0" w:noVBand="1"/>
      </w:tblPr>
      <w:tblGrid>
        <w:gridCol w:w="3536"/>
        <w:gridCol w:w="4596"/>
        <w:gridCol w:w="1444"/>
      </w:tblGrid>
      <w:tr w:rsidR="00063406" w:rsidTr="00063406">
        <w:tc>
          <w:tcPr>
            <w:tcW w:w="3192" w:type="dxa"/>
            <w:shd w:val="clear" w:color="auto" w:fill="F2F2F2" w:themeFill="background1" w:themeFillShade="F2"/>
          </w:tcPr>
          <w:p w:rsidR="00063406" w:rsidRPr="00E55EB1" w:rsidRDefault="00063406" w:rsidP="005F57D9">
            <w:pPr>
              <w:rPr>
                <w:b/>
              </w:rPr>
            </w:pPr>
            <w:r w:rsidRPr="00E55EB1">
              <w:rPr>
                <w:b/>
              </w:rPr>
              <w:t>Scientific Name</w:t>
            </w:r>
          </w:p>
        </w:tc>
        <w:tc>
          <w:tcPr>
            <w:tcW w:w="3192" w:type="dxa"/>
            <w:shd w:val="clear" w:color="auto" w:fill="F2F2F2" w:themeFill="background1" w:themeFillShade="F2"/>
          </w:tcPr>
          <w:p w:rsidR="00063406" w:rsidRPr="00E55EB1" w:rsidRDefault="00063406" w:rsidP="005F57D9">
            <w:pPr>
              <w:rPr>
                <w:b/>
              </w:rPr>
            </w:pPr>
            <w:r w:rsidRPr="00E55EB1">
              <w:rPr>
                <w:b/>
              </w:rPr>
              <w:t>Common Name</w:t>
            </w:r>
          </w:p>
        </w:tc>
        <w:tc>
          <w:tcPr>
            <w:tcW w:w="3192" w:type="dxa"/>
            <w:shd w:val="clear" w:color="auto" w:fill="F2F2F2" w:themeFill="background1" w:themeFillShade="F2"/>
          </w:tcPr>
          <w:p w:rsidR="00063406" w:rsidRPr="00063406" w:rsidRDefault="00063406">
            <w:pPr>
              <w:rPr>
                <w:b/>
              </w:rPr>
            </w:pPr>
            <w:r w:rsidRPr="00063406">
              <w:rPr>
                <w:b/>
              </w:rPr>
              <w:t>% CAPS Survey Including the Target Pest</w:t>
            </w:r>
          </w:p>
        </w:tc>
      </w:tr>
      <w:tr w:rsidR="00063406" w:rsidTr="00063406">
        <w:tc>
          <w:tcPr>
            <w:tcW w:w="3192" w:type="dxa"/>
          </w:tcPr>
          <w:tbl>
            <w:tblPr>
              <w:tblW w:w="3320" w:type="dxa"/>
              <w:tblLook w:val="04A0" w:firstRow="1" w:lastRow="0" w:firstColumn="1" w:lastColumn="0" w:noHBand="0" w:noVBand="1"/>
            </w:tblPr>
            <w:tblGrid>
              <w:gridCol w:w="3320"/>
            </w:tblGrid>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Aeolesthes sarta</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Agrilus sulcicollis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b/>
                      <w:bCs/>
                      <w:i/>
                      <w:color w:val="000000"/>
                    </w:rPr>
                  </w:pPr>
                  <w:r w:rsidRPr="00063406">
                    <w:rPr>
                      <w:rFonts w:ascii="Calibri" w:eastAsia="Times New Roman" w:hAnsi="Calibri" w:cs="Times New Roman"/>
                      <w:b/>
                      <w:bCs/>
                      <w:i/>
                      <w:color w:val="000000"/>
                    </w:rPr>
                    <w:t>Anoplophora chinensis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b/>
                      <w:bCs/>
                      <w:i/>
                      <w:color w:val="000000"/>
                    </w:rPr>
                  </w:pPr>
                  <w:r w:rsidRPr="00063406">
                    <w:rPr>
                      <w:rFonts w:ascii="Calibri" w:eastAsia="Times New Roman" w:hAnsi="Calibri" w:cs="Times New Roman"/>
                      <w:b/>
                      <w:bCs/>
                      <w:i/>
                      <w:color w:val="000000"/>
                    </w:rPr>
                    <w:t>Anoplophora glabripennis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Anoplophora malasiaca</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Callidiellum rufipenne</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Chlorophorus annularis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Cnestus mutilatus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Dendroctonus micans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Ips subelongatus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Massicus raddei</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Megaplatypus mutatus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Pityophthorus juglandis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Scolytus intricatus</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b/>
                      <w:bCs/>
                      <w:i/>
                      <w:color w:val="000000"/>
                    </w:rPr>
                  </w:pPr>
                  <w:r w:rsidRPr="00063406">
                    <w:rPr>
                      <w:rFonts w:ascii="Calibri" w:eastAsia="Times New Roman" w:hAnsi="Calibri" w:cs="Times New Roman"/>
                      <w:b/>
                      <w:bCs/>
                      <w:i/>
                      <w:color w:val="000000"/>
                    </w:rPr>
                    <w:t>Sirex noctilio</w:t>
                  </w:r>
                </w:p>
              </w:tc>
            </w:tr>
            <w:tr w:rsidR="00063406" w:rsidRPr="00063406" w:rsidTr="00063406">
              <w:trPr>
                <w:trHeight w:val="300"/>
              </w:trPr>
              <w:tc>
                <w:tcPr>
                  <w:tcW w:w="332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i/>
                      <w:color w:val="000000"/>
                    </w:rPr>
                  </w:pPr>
                  <w:r w:rsidRPr="00063406">
                    <w:rPr>
                      <w:rFonts w:ascii="Calibri" w:eastAsia="Times New Roman" w:hAnsi="Calibri" w:cs="Times New Roman"/>
                      <w:i/>
                      <w:color w:val="000000"/>
                    </w:rPr>
                    <w:t>Trichoferus campestris</w:t>
                  </w:r>
                </w:p>
              </w:tc>
            </w:tr>
          </w:tbl>
          <w:p w:rsidR="00063406" w:rsidRDefault="00063406"/>
        </w:tc>
        <w:tc>
          <w:tcPr>
            <w:tcW w:w="3192" w:type="dxa"/>
          </w:tcPr>
          <w:tbl>
            <w:tblPr>
              <w:tblW w:w="4380" w:type="dxa"/>
              <w:tblLook w:val="04A0" w:firstRow="1" w:lastRow="0" w:firstColumn="1" w:lastColumn="0" w:noHBand="0" w:noVBand="1"/>
            </w:tblPr>
            <w:tblGrid>
              <w:gridCol w:w="4380"/>
            </w:tblGrid>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City Longhorned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Jewel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b/>
                      <w:bCs/>
                      <w:color w:val="000000"/>
                    </w:rPr>
                  </w:pPr>
                  <w:r w:rsidRPr="00063406">
                    <w:rPr>
                      <w:rFonts w:ascii="Calibri" w:eastAsia="Times New Roman" w:hAnsi="Calibri" w:cs="Times New Roman"/>
                      <w:b/>
                      <w:bCs/>
                      <w:color w:val="000000"/>
                    </w:rPr>
                    <w:t>Citrus Longhorned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b/>
                      <w:bCs/>
                      <w:color w:val="000000"/>
                    </w:rPr>
                  </w:pPr>
                  <w:r w:rsidRPr="00063406">
                    <w:rPr>
                      <w:rFonts w:ascii="Calibri" w:eastAsia="Times New Roman" w:hAnsi="Calibri" w:cs="Times New Roman"/>
                      <w:b/>
                      <w:bCs/>
                      <w:color w:val="000000"/>
                    </w:rPr>
                    <w:t>Asian Longhorned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White-spotted Longicorn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Japanese Cedar Longhorned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Bamboo Borer</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Camphor Shot Borer</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Great Spruce Bark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Scolytid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Mountain Oak Longhorned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Ambrosia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Walnut Twig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European Oak Bark Beetle</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b/>
                      <w:bCs/>
                      <w:color w:val="000000"/>
                    </w:rPr>
                  </w:pPr>
                  <w:r w:rsidRPr="00063406">
                    <w:rPr>
                      <w:rFonts w:ascii="Calibri" w:eastAsia="Times New Roman" w:hAnsi="Calibri" w:cs="Times New Roman"/>
                      <w:b/>
                      <w:bCs/>
                      <w:color w:val="000000"/>
                    </w:rPr>
                    <w:t>Sirex Woodwasp</w:t>
                  </w:r>
                </w:p>
              </w:tc>
            </w:tr>
            <w:tr w:rsidR="00063406" w:rsidRPr="00063406" w:rsidTr="00063406">
              <w:trPr>
                <w:trHeight w:val="300"/>
              </w:trPr>
              <w:tc>
                <w:tcPr>
                  <w:tcW w:w="438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rPr>
                      <w:rFonts w:ascii="Calibri" w:eastAsia="Times New Roman" w:hAnsi="Calibri" w:cs="Times New Roman"/>
                      <w:color w:val="000000"/>
                    </w:rPr>
                  </w:pPr>
                  <w:r w:rsidRPr="00063406">
                    <w:rPr>
                      <w:rFonts w:ascii="Calibri" w:eastAsia="Times New Roman" w:hAnsi="Calibri" w:cs="Times New Roman"/>
                      <w:color w:val="000000"/>
                    </w:rPr>
                    <w:t>Velvet Longhorned Beetle</w:t>
                  </w:r>
                </w:p>
              </w:tc>
            </w:tr>
          </w:tbl>
          <w:p w:rsidR="00063406" w:rsidRDefault="00063406" w:rsidP="00063406">
            <w:pPr>
              <w:ind w:firstLine="720"/>
            </w:pPr>
          </w:p>
        </w:tc>
        <w:tc>
          <w:tcPr>
            <w:tcW w:w="3192" w:type="dxa"/>
          </w:tcPr>
          <w:tbl>
            <w:tblPr>
              <w:tblW w:w="960" w:type="dxa"/>
              <w:tblLook w:val="04A0" w:firstRow="1" w:lastRow="0" w:firstColumn="1" w:lastColumn="0" w:noHBand="0" w:noVBand="1"/>
            </w:tblPr>
            <w:tblGrid>
              <w:gridCol w:w="960"/>
            </w:tblGrid>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3%</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3%</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b/>
                      <w:bCs/>
                      <w:color w:val="000000"/>
                    </w:rPr>
                  </w:pPr>
                  <w:r w:rsidRPr="00063406">
                    <w:rPr>
                      <w:rFonts w:ascii="Calibri" w:eastAsia="Times New Roman" w:hAnsi="Calibri" w:cs="Times New Roman"/>
                      <w:b/>
                      <w:bCs/>
                      <w:color w:val="000000"/>
                    </w:rPr>
                    <w:t>23%</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b/>
                      <w:bCs/>
                      <w:color w:val="000000"/>
                    </w:rPr>
                  </w:pPr>
                  <w:r w:rsidRPr="00063406">
                    <w:rPr>
                      <w:rFonts w:ascii="Calibri" w:eastAsia="Times New Roman" w:hAnsi="Calibri" w:cs="Times New Roman"/>
                      <w:b/>
                      <w:bCs/>
                      <w:color w:val="000000"/>
                    </w:rPr>
                    <w:t>31%</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5%</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3%</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8%</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3%</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3%</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3%</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8%</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5%</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3%</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8%</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b/>
                      <w:bCs/>
                      <w:color w:val="000000"/>
                    </w:rPr>
                  </w:pPr>
                  <w:r w:rsidRPr="00063406">
                    <w:rPr>
                      <w:rFonts w:ascii="Calibri" w:eastAsia="Times New Roman" w:hAnsi="Calibri" w:cs="Times New Roman"/>
                      <w:b/>
                      <w:bCs/>
                      <w:color w:val="000000"/>
                    </w:rPr>
                    <w:t>26%</w:t>
                  </w:r>
                </w:p>
              </w:tc>
            </w:tr>
            <w:tr w:rsidR="00063406" w:rsidRPr="00063406" w:rsidTr="00063406">
              <w:trPr>
                <w:trHeight w:val="300"/>
              </w:trPr>
              <w:tc>
                <w:tcPr>
                  <w:tcW w:w="960" w:type="dxa"/>
                  <w:tcBorders>
                    <w:top w:val="nil"/>
                    <w:left w:val="nil"/>
                    <w:bottom w:val="nil"/>
                    <w:right w:val="nil"/>
                  </w:tcBorders>
                  <w:shd w:val="clear" w:color="auto" w:fill="auto"/>
                  <w:noWrap/>
                  <w:vAlign w:val="bottom"/>
                  <w:hideMark/>
                </w:tcPr>
                <w:p w:rsidR="00063406" w:rsidRPr="00063406" w:rsidRDefault="00063406" w:rsidP="00063406">
                  <w:pPr>
                    <w:spacing w:after="0" w:line="240" w:lineRule="auto"/>
                    <w:jc w:val="right"/>
                    <w:rPr>
                      <w:rFonts w:ascii="Calibri" w:eastAsia="Times New Roman" w:hAnsi="Calibri" w:cs="Times New Roman"/>
                      <w:color w:val="000000"/>
                    </w:rPr>
                  </w:pPr>
                  <w:r w:rsidRPr="00063406">
                    <w:rPr>
                      <w:rFonts w:ascii="Calibri" w:eastAsia="Times New Roman" w:hAnsi="Calibri" w:cs="Times New Roman"/>
                      <w:color w:val="000000"/>
                    </w:rPr>
                    <w:t>10%</w:t>
                  </w:r>
                </w:p>
              </w:tc>
            </w:tr>
          </w:tbl>
          <w:p w:rsidR="00063406" w:rsidRDefault="00063406"/>
        </w:tc>
      </w:tr>
    </w:tbl>
    <w:p w:rsidR="00E55EB1" w:rsidRDefault="00E55EB1"/>
    <w:p w:rsidR="00E55EB1" w:rsidRDefault="005F57D9" w:rsidP="00347894">
      <w:r>
        <w:t xml:space="preserve">In general it is difficult to make comparisons regarding survey costs between states. Each state has its own way of distributing costs across surveys, and its own labor, travel, etc. costs. </w:t>
      </w:r>
      <w:r w:rsidR="00436DC7">
        <w:t xml:space="preserve">The CAPS surveys in particular may underrepresent the costs of survey as some costs may be distributed to infrastructure funding, or shared state funding (although this occurred infrequently in the dataset.) </w:t>
      </w:r>
      <w:r>
        <w:t>This summary data set is also tricky to work with as it: 1) reflects the planned surveys and not what was completed; 2) does not reflect the money spent, but the money awarded; 3) not all of the data may be entered in the same way by all states. There are some numbers that I question, but with one exception, I did not exclude any of the data from the data set. I did exclude some visit and target * site *visit data from the 2014 Alabama CAPS survey, as the dataset indicated that there would be 1,980 visits to the sites, and I did not think that this was within the realm of possib</w:t>
      </w:r>
      <w:r w:rsidR="00436DC7">
        <w:t>ility</w:t>
      </w:r>
      <w:r>
        <w:t>. Alabama also had the highest listed number of sites at 330 – I retained this data in the dataset, but question what it actually represents.</w:t>
      </w:r>
      <w:r w:rsidR="00436DC7">
        <w:t xml:space="preserve"> </w:t>
      </w:r>
      <w:r>
        <w:t xml:space="preserve">  </w:t>
      </w:r>
    </w:p>
    <w:p w:rsidR="00436DC7" w:rsidRDefault="00436DC7" w:rsidP="00347894">
      <w:r>
        <w:t xml:space="preserve">Although it is difficult to make a detailed analysis of this dataset due to concerns about data integrity as well as low replication, some broad conclusions can be drawn. Namely: 1) appearance of increased funding through the Farm Bill for EWBB surveys is an artifact of much of the FY14 and FY15 EWBB Farm Bill survey dollars funding survey in California; 2) the numbers and species of targets, sites, visits, and costs per target * site *visit are remarkably consistent between CAPS and Farm Bill funding; 3) there is </w:t>
      </w:r>
      <w:r>
        <w:lastRenderedPageBreak/>
        <w:t>no increase in dollars awarded by  funding the EWBB survey through the Farm Bill; and 4) there is no decrease in dollars awarded by funding the EWBB survey through the Farm Bill.</w:t>
      </w:r>
    </w:p>
    <w:p w:rsidR="00347894" w:rsidRPr="004B5C7E" w:rsidRDefault="00347894" w:rsidP="00347894"/>
    <w:p w:rsidR="00347894" w:rsidRPr="004B5C7E" w:rsidRDefault="00347894" w:rsidP="004B5C7E"/>
    <w:sectPr w:rsidR="00347894" w:rsidRPr="004B5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5096"/>
    <w:multiLevelType w:val="hybridMultilevel"/>
    <w:tmpl w:val="59A44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D0"/>
    <w:rsid w:val="00007E11"/>
    <w:rsid w:val="00063406"/>
    <w:rsid w:val="00341176"/>
    <w:rsid w:val="00347894"/>
    <w:rsid w:val="0039375B"/>
    <w:rsid w:val="00436DC7"/>
    <w:rsid w:val="004B5C7E"/>
    <w:rsid w:val="005F57D9"/>
    <w:rsid w:val="006671CB"/>
    <w:rsid w:val="0086727F"/>
    <w:rsid w:val="00BA16B4"/>
    <w:rsid w:val="00C177D0"/>
    <w:rsid w:val="00C45273"/>
    <w:rsid w:val="00C82BD9"/>
    <w:rsid w:val="00E55EB1"/>
    <w:rsid w:val="00ED7D71"/>
    <w:rsid w:val="00FC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53"/>
    <w:pPr>
      <w:ind w:left="720"/>
      <w:contextualSpacing/>
    </w:pPr>
  </w:style>
  <w:style w:type="table" w:styleId="TableGrid">
    <w:name w:val="Table Grid"/>
    <w:basedOn w:val="TableNormal"/>
    <w:uiPriority w:val="59"/>
    <w:rsid w:val="004B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453"/>
    <w:pPr>
      <w:ind w:left="720"/>
      <w:contextualSpacing/>
    </w:pPr>
  </w:style>
  <w:style w:type="table" w:styleId="TableGrid">
    <w:name w:val="Table Grid"/>
    <w:basedOn w:val="TableNormal"/>
    <w:uiPriority w:val="59"/>
    <w:rsid w:val="004B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4970">
      <w:bodyDiv w:val="1"/>
      <w:marLeft w:val="0"/>
      <w:marRight w:val="0"/>
      <w:marTop w:val="0"/>
      <w:marBottom w:val="0"/>
      <w:divBdr>
        <w:top w:val="none" w:sz="0" w:space="0" w:color="auto"/>
        <w:left w:val="none" w:sz="0" w:space="0" w:color="auto"/>
        <w:bottom w:val="none" w:sz="0" w:space="0" w:color="auto"/>
        <w:right w:val="none" w:sz="0" w:space="0" w:color="auto"/>
      </w:divBdr>
    </w:div>
    <w:div w:id="908266186">
      <w:bodyDiv w:val="1"/>
      <w:marLeft w:val="0"/>
      <w:marRight w:val="0"/>
      <w:marTop w:val="0"/>
      <w:marBottom w:val="0"/>
      <w:divBdr>
        <w:top w:val="none" w:sz="0" w:space="0" w:color="auto"/>
        <w:left w:val="none" w:sz="0" w:space="0" w:color="auto"/>
        <w:bottom w:val="none" w:sz="0" w:space="0" w:color="auto"/>
        <w:right w:val="none" w:sz="0" w:space="0" w:color="auto"/>
      </w:divBdr>
    </w:div>
    <w:div w:id="1289240623">
      <w:bodyDiv w:val="1"/>
      <w:marLeft w:val="0"/>
      <w:marRight w:val="0"/>
      <w:marTop w:val="0"/>
      <w:marBottom w:val="0"/>
      <w:divBdr>
        <w:top w:val="none" w:sz="0" w:space="0" w:color="auto"/>
        <w:left w:val="none" w:sz="0" w:space="0" w:color="auto"/>
        <w:bottom w:val="none" w:sz="0" w:space="0" w:color="auto"/>
        <w:right w:val="none" w:sz="0" w:space="0" w:color="auto"/>
      </w:divBdr>
    </w:div>
    <w:div w:id="154672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Siegert, Piera</dc:creator>
  <cp:lastModifiedBy>Siegert, Piera</cp:lastModifiedBy>
  <cp:revision>3</cp:revision>
  <dcterms:created xsi:type="dcterms:W3CDTF">2017-02-03T19:14:00Z</dcterms:created>
  <dcterms:modified xsi:type="dcterms:W3CDTF">2017-02-03T21:36:00Z</dcterms:modified>
</cp:coreProperties>
</file>